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4853" w14:textId="77777777" w:rsidR="00AD2CCA" w:rsidRDefault="00AD2CCA" w:rsidP="00AD2CCA">
      <w:pPr>
        <w:pStyle w:val="H1Maori"/>
      </w:pPr>
      <w:bookmarkStart w:id="0" w:name="_Toc156815193"/>
      <w:bookmarkStart w:id="1" w:name="_Toc156473600"/>
      <w:bookmarkStart w:id="2" w:name="_Toc156486816"/>
      <w:bookmarkStart w:id="3" w:name="_Toc157079035"/>
      <w:r w:rsidRPr="00962011">
        <w:t>Pūrongo ā-tau</w:t>
      </w:r>
      <w:bookmarkEnd w:id="0"/>
      <w:bookmarkEnd w:id="3"/>
    </w:p>
    <w:p w14:paraId="42BBD991" w14:textId="65718E1E" w:rsidR="00EB6DD3" w:rsidRPr="00962011" w:rsidRDefault="0065344C" w:rsidP="007227B4">
      <w:pPr>
        <w:pStyle w:val="Heading1"/>
        <w:rPr>
          <w:lang w:val="en-NZ"/>
        </w:rPr>
      </w:pPr>
      <w:bookmarkStart w:id="4" w:name="_Toc157079036"/>
      <w:r w:rsidRPr="00962011">
        <w:rPr>
          <w:lang w:val="en-NZ"/>
        </w:rPr>
        <w:t>Annual report</w:t>
      </w:r>
      <w:r w:rsidRPr="00962011">
        <w:rPr>
          <w:lang w:val="en-NZ"/>
        </w:rPr>
        <w:br/>
        <w:t>2022-2023</w:t>
      </w:r>
      <w:bookmarkEnd w:id="1"/>
      <w:bookmarkEnd w:id="2"/>
      <w:bookmarkEnd w:id="4"/>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62DB1B75" w:rsidR="00816DC0" w:rsidRDefault="007227B4">
      <w:pPr>
        <w:rPr>
          <w:lang w:val="en-NZ"/>
        </w:rPr>
      </w:pPr>
      <w:r w:rsidRPr="00962011">
        <w:rPr>
          <w:lang w:val="en-NZ"/>
        </w:rPr>
        <w:t xml:space="preserve">CCS Disability Action </w:t>
      </w:r>
      <w:r w:rsidR="00AD2CCA" w:rsidRPr="00AD2CCA">
        <w:rPr>
          <w:szCs w:val="36"/>
          <w:lang w:val="mi-NZ"/>
        </w:rPr>
        <w:t>Manawatū/Horowhenua</w:t>
      </w:r>
      <w:r w:rsidR="00AD2CCA" w:rsidRPr="00AD2CCA">
        <w:rPr>
          <w:szCs w:val="36"/>
          <w:lang w:val="en-NZ"/>
        </w:rPr>
        <w:t xml:space="preserve"> </w:t>
      </w:r>
      <w:r w:rsidRPr="00962011">
        <w:rPr>
          <w:lang w:val="en-NZ"/>
        </w:rPr>
        <w:t>Incorporated</w:t>
      </w:r>
    </w:p>
    <w:p w14:paraId="5093EEFE" w14:textId="77777777" w:rsidR="00816DC0" w:rsidRDefault="00816DC0">
      <w:pPr>
        <w:spacing w:before="0" w:after="0" w:line="240" w:lineRule="auto"/>
        <w:rPr>
          <w:lang w:val="en-NZ"/>
        </w:rPr>
      </w:pPr>
      <w:r>
        <w:rPr>
          <w:lang w:val="en-NZ"/>
        </w:rPr>
        <w:br w:type="page"/>
      </w:r>
    </w:p>
    <w:p w14:paraId="549E0049" w14:textId="4079B5DA" w:rsidR="00182623" w:rsidRDefault="00070095" w:rsidP="00182623">
      <w:pPr>
        <w:pStyle w:val="Heading1"/>
        <w:rPr>
          <w:noProof/>
        </w:rPr>
      </w:pPr>
      <w:bookmarkStart w:id="5" w:name="_Toc156486817"/>
      <w:r>
        <w:rPr>
          <w:lang w:val="en-NZ"/>
        </w:rPr>
        <w:lastRenderedPageBreak/>
        <w:t>Contents</w:t>
      </w:r>
      <w:bookmarkEnd w:id="5"/>
      <w:r w:rsidR="00974DF5">
        <w:rPr>
          <w:lang w:val="en-NZ"/>
        </w:rPr>
        <w:fldChar w:fldCharType="begin"/>
      </w:r>
      <w:r w:rsidR="00974DF5">
        <w:rPr>
          <w:lang w:val="en-NZ"/>
        </w:rPr>
        <w:instrText xml:space="preserve"> TOC \o "1-1" \u </w:instrText>
      </w:r>
      <w:r w:rsidR="00974DF5">
        <w:rPr>
          <w:lang w:val="en-NZ"/>
        </w:rPr>
        <w:fldChar w:fldCharType="separate"/>
      </w:r>
      <w:r w:rsidR="00974DF5">
        <w:rPr>
          <w:lang w:val="en-NZ"/>
        </w:rPr>
        <w:fldChar w:fldCharType="end"/>
      </w:r>
      <w:r w:rsidR="00182623">
        <w:rPr>
          <w:lang w:val="en-NZ"/>
        </w:rPr>
        <w:fldChar w:fldCharType="begin"/>
      </w:r>
      <w:r w:rsidR="00182623">
        <w:rPr>
          <w:lang w:val="en-NZ"/>
        </w:rPr>
        <w:instrText xml:space="preserve"> TOC \o "1-1" \h \z \u </w:instrText>
      </w:r>
      <w:r w:rsidR="00182623">
        <w:rPr>
          <w:lang w:val="en-NZ"/>
        </w:rPr>
        <w:fldChar w:fldCharType="separate"/>
      </w:r>
    </w:p>
    <w:p w14:paraId="3A300692" w14:textId="60BA2D8B" w:rsidR="00182623" w:rsidRDefault="0018262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038" w:history="1">
        <w:r w:rsidRPr="004C52DD">
          <w:rPr>
            <w:rStyle w:val="Hyperlink"/>
            <w:noProof/>
            <w:lang w:val="en-NZ"/>
          </w:rPr>
          <w:t>About us</w:t>
        </w:r>
        <w:r>
          <w:rPr>
            <w:noProof/>
            <w:webHidden/>
          </w:rPr>
          <w:tab/>
        </w:r>
        <w:r>
          <w:rPr>
            <w:noProof/>
            <w:webHidden/>
          </w:rPr>
          <w:fldChar w:fldCharType="begin"/>
        </w:r>
        <w:r>
          <w:rPr>
            <w:noProof/>
            <w:webHidden/>
          </w:rPr>
          <w:instrText xml:space="preserve"> PAGEREF _Toc157079038 \h </w:instrText>
        </w:r>
        <w:r>
          <w:rPr>
            <w:noProof/>
            <w:webHidden/>
          </w:rPr>
        </w:r>
        <w:r>
          <w:rPr>
            <w:noProof/>
            <w:webHidden/>
          </w:rPr>
          <w:fldChar w:fldCharType="separate"/>
        </w:r>
        <w:r>
          <w:rPr>
            <w:noProof/>
            <w:webHidden/>
          </w:rPr>
          <w:t>3</w:t>
        </w:r>
        <w:r>
          <w:rPr>
            <w:noProof/>
            <w:webHidden/>
          </w:rPr>
          <w:fldChar w:fldCharType="end"/>
        </w:r>
      </w:hyperlink>
    </w:p>
    <w:p w14:paraId="5F78D253" w14:textId="712F91F5" w:rsidR="00182623" w:rsidRDefault="0018262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039" w:history="1">
        <w:r w:rsidRPr="004C52DD">
          <w:rPr>
            <w:rStyle w:val="Hyperlink"/>
            <w:noProof/>
            <w:lang w:val="en-NZ"/>
          </w:rPr>
          <w:t>Branch report</w:t>
        </w:r>
        <w:r>
          <w:rPr>
            <w:noProof/>
            <w:webHidden/>
          </w:rPr>
          <w:tab/>
        </w:r>
        <w:r>
          <w:rPr>
            <w:noProof/>
            <w:webHidden/>
          </w:rPr>
          <w:fldChar w:fldCharType="begin"/>
        </w:r>
        <w:r>
          <w:rPr>
            <w:noProof/>
            <w:webHidden/>
          </w:rPr>
          <w:instrText xml:space="preserve"> PAGEREF _Toc157079039 \h </w:instrText>
        </w:r>
        <w:r>
          <w:rPr>
            <w:noProof/>
            <w:webHidden/>
          </w:rPr>
        </w:r>
        <w:r>
          <w:rPr>
            <w:noProof/>
            <w:webHidden/>
          </w:rPr>
          <w:fldChar w:fldCharType="separate"/>
        </w:r>
        <w:r>
          <w:rPr>
            <w:noProof/>
            <w:webHidden/>
          </w:rPr>
          <w:t>9</w:t>
        </w:r>
        <w:r>
          <w:rPr>
            <w:noProof/>
            <w:webHidden/>
          </w:rPr>
          <w:fldChar w:fldCharType="end"/>
        </w:r>
      </w:hyperlink>
    </w:p>
    <w:p w14:paraId="39299857" w14:textId="532BD508" w:rsidR="00182623" w:rsidRDefault="0018262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040" w:history="1">
        <w:r w:rsidRPr="004C52DD">
          <w:rPr>
            <w:rStyle w:val="Hyperlink"/>
            <w:noProof/>
            <w:lang w:val="en-NZ"/>
          </w:rPr>
          <w:t>Local Executive Committee report</w:t>
        </w:r>
        <w:r>
          <w:rPr>
            <w:noProof/>
            <w:webHidden/>
          </w:rPr>
          <w:tab/>
        </w:r>
        <w:r>
          <w:rPr>
            <w:noProof/>
            <w:webHidden/>
          </w:rPr>
          <w:fldChar w:fldCharType="begin"/>
        </w:r>
        <w:r>
          <w:rPr>
            <w:noProof/>
            <w:webHidden/>
          </w:rPr>
          <w:instrText xml:space="preserve"> PAGEREF _Toc157079040 \h </w:instrText>
        </w:r>
        <w:r>
          <w:rPr>
            <w:noProof/>
            <w:webHidden/>
          </w:rPr>
        </w:r>
        <w:r>
          <w:rPr>
            <w:noProof/>
            <w:webHidden/>
          </w:rPr>
          <w:fldChar w:fldCharType="separate"/>
        </w:r>
        <w:r>
          <w:rPr>
            <w:noProof/>
            <w:webHidden/>
          </w:rPr>
          <w:t>16</w:t>
        </w:r>
        <w:r>
          <w:rPr>
            <w:noProof/>
            <w:webHidden/>
          </w:rPr>
          <w:fldChar w:fldCharType="end"/>
        </w:r>
      </w:hyperlink>
    </w:p>
    <w:p w14:paraId="0BC60173" w14:textId="7C00FE41" w:rsidR="00182623" w:rsidRDefault="0018262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041" w:history="1">
        <w:r w:rsidRPr="004C52DD">
          <w:rPr>
            <w:rStyle w:val="Hyperlink"/>
            <w:noProof/>
            <w:lang w:val="en-NZ"/>
          </w:rPr>
          <w:t>Chrissy &amp; Mandy’s story</w:t>
        </w:r>
        <w:r>
          <w:rPr>
            <w:noProof/>
            <w:webHidden/>
          </w:rPr>
          <w:tab/>
        </w:r>
        <w:r>
          <w:rPr>
            <w:noProof/>
            <w:webHidden/>
          </w:rPr>
          <w:fldChar w:fldCharType="begin"/>
        </w:r>
        <w:r>
          <w:rPr>
            <w:noProof/>
            <w:webHidden/>
          </w:rPr>
          <w:instrText xml:space="preserve"> PAGEREF _Toc157079041 \h </w:instrText>
        </w:r>
        <w:r>
          <w:rPr>
            <w:noProof/>
            <w:webHidden/>
          </w:rPr>
        </w:r>
        <w:r>
          <w:rPr>
            <w:noProof/>
            <w:webHidden/>
          </w:rPr>
          <w:fldChar w:fldCharType="separate"/>
        </w:r>
        <w:r>
          <w:rPr>
            <w:noProof/>
            <w:webHidden/>
          </w:rPr>
          <w:t>19</w:t>
        </w:r>
        <w:r>
          <w:rPr>
            <w:noProof/>
            <w:webHidden/>
          </w:rPr>
          <w:fldChar w:fldCharType="end"/>
        </w:r>
      </w:hyperlink>
    </w:p>
    <w:p w14:paraId="463242F6" w14:textId="4A1270AF" w:rsidR="00182623" w:rsidRDefault="0018262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042" w:history="1">
        <w:r w:rsidRPr="004C52DD">
          <w:rPr>
            <w:rStyle w:val="Hyperlink"/>
            <w:noProof/>
            <w:lang w:val="en-NZ"/>
          </w:rPr>
          <w:t>Financial</w:t>
        </w:r>
        <w:r>
          <w:rPr>
            <w:rStyle w:val="Hyperlink"/>
            <w:noProof/>
            <w:lang w:val="en-NZ"/>
          </w:rPr>
          <w:t>s</w:t>
        </w:r>
        <w:r>
          <w:rPr>
            <w:noProof/>
            <w:webHidden/>
          </w:rPr>
          <w:tab/>
        </w:r>
        <w:r>
          <w:rPr>
            <w:noProof/>
            <w:webHidden/>
          </w:rPr>
          <w:fldChar w:fldCharType="begin"/>
        </w:r>
        <w:r>
          <w:rPr>
            <w:noProof/>
            <w:webHidden/>
          </w:rPr>
          <w:instrText xml:space="preserve"> PAGEREF _Toc157079042 \h </w:instrText>
        </w:r>
        <w:r>
          <w:rPr>
            <w:noProof/>
            <w:webHidden/>
          </w:rPr>
        </w:r>
        <w:r>
          <w:rPr>
            <w:noProof/>
            <w:webHidden/>
          </w:rPr>
          <w:fldChar w:fldCharType="separate"/>
        </w:r>
        <w:r>
          <w:rPr>
            <w:noProof/>
            <w:webHidden/>
          </w:rPr>
          <w:t>28</w:t>
        </w:r>
        <w:r>
          <w:rPr>
            <w:noProof/>
            <w:webHidden/>
          </w:rPr>
          <w:fldChar w:fldCharType="end"/>
        </w:r>
      </w:hyperlink>
    </w:p>
    <w:p w14:paraId="55021E77" w14:textId="76A46F58" w:rsidR="00182623" w:rsidRDefault="0018262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044" w:history="1">
        <w:r w:rsidRPr="004C52DD">
          <w:rPr>
            <w:rStyle w:val="Hyperlink"/>
            <w:noProof/>
            <w:lang w:val="en-NZ"/>
          </w:rPr>
          <w:t>Our supporters</w:t>
        </w:r>
        <w:r>
          <w:rPr>
            <w:noProof/>
            <w:webHidden/>
          </w:rPr>
          <w:tab/>
        </w:r>
        <w:r>
          <w:rPr>
            <w:noProof/>
            <w:webHidden/>
          </w:rPr>
          <w:fldChar w:fldCharType="begin"/>
        </w:r>
        <w:r>
          <w:rPr>
            <w:noProof/>
            <w:webHidden/>
          </w:rPr>
          <w:instrText xml:space="preserve"> PAGEREF _Toc157079044 \h </w:instrText>
        </w:r>
        <w:r>
          <w:rPr>
            <w:noProof/>
            <w:webHidden/>
          </w:rPr>
        </w:r>
        <w:r>
          <w:rPr>
            <w:noProof/>
            <w:webHidden/>
          </w:rPr>
          <w:fldChar w:fldCharType="separate"/>
        </w:r>
        <w:r>
          <w:rPr>
            <w:noProof/>
            <w:webHidden/>
          </w:rPr>
          <w:t>38</w:t>
        </w:r>
        <w:r>
          <w:rPr>
            <w:noProof/>
            <w:webHidden/>
          </w:rPr>
          <w:fldChar w:fldCharType="end"/>
        </w:r>
      </w:hyperlink>
    </w:p>
    <w:p w14:paraId="27CDC0E2" w14:textId="55A92284" w:rsidR="00816DC0" w:rsidRDefault="00182623" w:rsidP="00182623">
      <w:pPr>
        <w:rPr>
          <w:lang w:val="en-NZ"/>
        </w:rPr>
      </w:pPr>
      <w:r>
        <w:rPr>
          <w:lang w:val="en-NZ"/>
        </w:rPr>
        <w:fldChar w:fldCharType="end"/>
      </w:r>
      <w:r w:rsidR="00816DC0">
        <w:rPr>
          <w:lang w:val="en-NZ"/>
        </w:rPr>
        <w:br w:type="page"/>
      </w:r>
    </w:p>
    <w:p w14:paraId="0905433E" w14:textId="77777777" w:rsidR="00D65501" w:rsidRDefault="00C24EC2" w:rsidP="00B21093">
      <w:pPr>
        <w:pStyle w:val="H1Maori"/>
      </w:pPr>
      <w:bookmarkStart w:id="6" w:name="_Toc156486818"/>
      <w:bookmarkStart w:id="7" w:name="_Toc156473601"/>
      <w:bookmarkStart w:id="8" w:name="_Toc157079037"/>
      <w:r w:rsidRPr="00962011">
        <w:lastRenderedPageBreak/>
        <w:t>Mō mātou</w:t>
      </w:r>
      <w:bookmarkEnd w:id="8"/>
    </w:p>
    <w:p w14:paraId="299C894F" w14:textId="29F15527" w:rsidR="00C22BED" w:rsidRDefault="00C24EC2" w:rsidP="001A1CFD">
      <w:pPr>
        <w:pStyle w:val="Heading1"/>
        <w:rPr>
          <w:lang w:val="en-NZ"/>
        </w:rPr>
      </w:pPr>
      <w:bookmarkStart w:id="9" w:name="_Toc157079038"/>
      <w:r w:rsidRPr="00962011">
        <w:rPr>
          <w:lang w:val="en-NZ"/>
        </w:rPr>
        <w:t>About us</w:t>
      </w:r>
      <w:bookmarkEnd w:id="6"/>
      <w:bookmarkEnd w:id="9"/>
    </w:p>
    <w:p w14:paraId="140E894B" w14:textId="6A5E175B" w:rsidR="007227B4" w:rsidRPr="00AE6AC9" w:rsidRDefault="00C24EC2" w:rsidP="00C22BED">
      <w:pPr>
        <w:rPr>
          <w:sz w:val="40"/>
          <w:szCs w:val="40"/>
          <w:lang w:val="en-NZ"/>
        </w:rPr>
      </w:pPr>
      <w:r w:rsidRPr="00AE6AC9">
        <w:rPr>
          <w:sz w:val="40"/>
          <w:szCs w:val="40"/>
          <w:lang w:val="en-NZ"/>
        </w:rPr>
        <w:t xml:space="preserve">CCS Disability Action </w:t>
      </w:r>
      <w:r w:rsidR="00E61DCD" w:rsidRPr="00E61DCD">
        <w:rPr>
          <w:sz w:val="40"/>
          <w:szCs w:val="40"/>
          <w:lang w:val="mi-NZ"/>
        </w:rPr>
        <w:t>Manawatū/Horowhenua</w:t>
      </w:r>
      <w:r w:rsidR="00E61DCD">
        <w:rPr>
          <w:sz w:val="40"/>
          <w:szCs w:val="40"/>
          <w:lang w:val="en-NZ"/>
        </w:rPr>
        <w:t xml:space="preserve"> </w:t>
      </w:r>
      <w:r w:rsidRPr="00AE6AC9">
        <w:rPr>
          <w:sz w:val="40"/>
          <w:szCs w:val="40"/>
          <w:lang w:val="en-NZ"/>
        </w:rPr>
        <w:t>Incorporated</w:t>
      </w:r>
      <w:bookmarkEnd w:id="7"/>
    </w:p>
    <w:p w14:paraId="16D76C27" w14:textId="77777777" w:rsidR="00B21093" w:rsidRPr="002F5A93" w:rsidRDefault="00B21093" w:rsidP="00B21093">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379E1DA8" w14:textId="77777777" w:rsidR="00D65501" w:rsidRDefault="001A1CFD" w:rsidP="009460F6">
      <w:pPr>
        <w:pStyle w:val="H2Maori"/>
      </w:pPr>
      <w:r w:rsidRPr="00962011">
        <w:t>Ā mātou whāinga rautaki matua</w:t>
      </w:r>
    </w:p>
    <w:p w14:paraId="1BE54464" w14:textId="47E48501"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43002BD1" w14:textId="56EC7BF7" w:rsidR="00D65501" w:rsidRDefault="006B1E61" w:rsidP="009460F6">
      <w:pPr>
        <w:pStyle w:val="H2Maori"/>
      </w:pPr>
      <w:r w:rsidRPr="00962011">
        <w:t>Te hunga hauā mauri mō</w:t>
      </w:r>
      <w:r w:rsidR="009460F6">
        <w:t xml:space="preserve"> </w:t>
      </w:r>
      <w:r w:rsidRPr="00962011">
        <w:t>ngā tāngata katoa</w:t>
      </w:r>
    </w:p>
    <w:p w14:paraId="60851CBC" w14:textId="789DD58D" w:rsidR="006B1E61" w:rsidRPr="00962011" w:rsidRDefault="006B1E61" w:rsidP="00261E14">
      <w:pPr>
        <w:pStyle w:val="Heading2"/>
        <w:rPr>
          <w:lang w:val="en-NZ"/>
        </w:rPr>
      </w:pPr>
      <w:r w:rsidRPr="00962011">
        <w:rPr>
          <w:lang w:val="en-NZ"/>
        </w:rPr>
        <w:t>Our foundation statement</w:t>
      </w:r>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C43052C" w14:textId="77777777" w:rsidR="00D65501" w:rsidRDefault="006B1E61" w:rsidP="00497F59">
      <w:pPr>
        <w:pStyle w:val="H2Maori"/>
      </w:pPr>
      <w:r w:rsidRPr="00962011">
        <w:t>Te whakatara</w:t>
      </w:r>
    </w:p>
    <w:p w14:paraId="1C924B3D" w14:textId="222A2E5F"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16A4D79A" w14:textId="77777777" w:rsidR="00497F59" w:rsidRDefault="00C16F19" w:rsidP="00497F59">
      <w:pPr>
        <w:pStyle w:val="H2Maori"/>
      </w:pPr>
      <w:r w:rsidRPr="00962011">
        <w:t>Tō mātou tōpūtanga</w:t>
      </w:r>
    </w:p>
    <w:p w14:paraId="31D298E4" w14:textId="4CEFF6E0"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72C2D46D" w14:textId="77777777" w:rsidR="00BB0012" w:rsidRDefault="00C16F19" w:rsidP="00497F59">
      <w:pPr>
        <w:pStyle w:val="H2Maori"/>
      </w:pPr>
      <w:r w:rsidRPr="00962011">
        <w:lastRenderedPageBreak/>
        <w:t>Ā mātou peka</w:t>
      </w:r>
    </w:p>
    <w:p w14:paraId="6010E2FA" w14:textId="375C3F20"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57D678F4" w:rsidR="00C16F19" w:rsidRPr="00962011" w:rsidRDefault="00B5552E" w:rsidP="00C16F19">
      <w:pPr>
        <w:rPr>
          <w:lang w:val="en-NZ"/>
        </w:rPr>
      </w:pPr>
      <w:r w:rsidRPr="00B5552E">
        <w:rPr>
          <w:lang w:val="en-NZ"/>
        </w:rPr>
        <w:t xml:space="preserve">Incorporated in 1935, the CCS Disability Action </w:t>
      </w:r>
      <w:r w:rsidRPr="00805452">
        <w:rPr>
          <w:lang w:val="mi-NZ"/>
        </w:rPr>
        <w:t>Manawatū Horowhenua</w:t>
      </w:r>
      <w:r w:rsidRPr="00B5552E">
        <w:rPr>
          <w:lang w:val="en-NZ"/>
        </w:rPr>
        <w:t xml:space="preserve"> branch is based in Palmerston North. </w:t>
      </w:r>
      <w:r w:rsidRPr="00805452">
        <w:rPr>
          <w:lang w:val="mi-NZ"/>
        </w:rPr>
        <w:t>Manawatū</w:t>
      </w:r>
      <w:r w:rsidRPr="00B5552E">
        <w:rPr>
          <w:lang w:val="en-NZ"/>
        </w:rPr>
        <w:t xml:space="preserve"> occupies the Northern part of the region and includes the main centres of Palmerston North and Feilding. </w:t>
      </w:r>
      <w:r w:rsidRPr="00805452">
        <w:rPr>
          <w:lang w:val="mi-NZ"/>
        </w:rPr>
        <w:t>Horowhenua</w:t>
      </w:r>
      <w:r w:rsidRPr="00B5552E">
        <w:rPr>
          <w:lang w:val="en-NZ"/>
        </w:rPr>
        <w:t xml:space="preserve"> forms the Southern part of the catchment and includes the main centres of Foxton and Levin.</w:t>
      </w:r>
    </w:p>
    <w:p w14:paraId="17A341F5" w14:textId="77777777" w:rsidR="0063695B" w:rsidRPr="005B0A75" w:rsidRDefault="0063695B" w:rsidP="00902710">
      <w:pPr>
        <w:pStyle w:val="Heading1"/>
        <w:rPr>
          <w:lang w:val="en-NZ"/>
        </w:rPr>
      </w:pPr>
      <w:bookmarkStart w:id="10" w:name="_Toc156473602"/>
      <w:bookmarkStart w:id="11" w:name="_Toc156486819"/>
      <w:bookmarkStart w:id="12" w:name="_Toc157079039"/>
      <w:r w:rsidRPr="005B0A75">
        <w:rPr>
          <w:lang w:val="en-NZ"/>
        </w:rPr>
        <w:lastRenderedPageBreak/>
        <w:t>Branch report</w:t>
      </w:r>
      <w:bookmarkEnd w:id="10"/>
      <w:bookmarkEnd w:id="11"/>
      <w:bookmarkEnd w:id="12"/>
    </w:p>
    <w:p w14:paraId="00958804" w14:textId="77777777" w:rsidR="00C8510F" w:rsidRPr="00E85EF7" w:rsidRDefault="00C8510F" w:rsidP="00C8510F">
      <w:pPr>
        <w:rPr>
          <w:b/>
          <w:bCs/>
          <w:lang w:val="en-NZ"/>
        </w:rPr>
      </w:pPr>
      <w:r w:rsidRPr="00E85EF7">
        <w:rPr>
          <w:b/>
          <w:bCs/>
          <w:lang w:val="mi-NZ"/>
        </w:rPr>
        <w:t>E hara taku toa it te toa takitahi, engari, he toa takimano takitini.</w:t>
      </w:r>
      <w:r w:rsidRPr="00E85EF7">
        <w:rPr>
          <w:b/>
          <w:bCs/>
          <w:lang w:val="en-NZ"/>
        </w:rPr>
        <w:t xml:space="preserve"> Success is not the work of one but the work of many.</w:t>
      </w:r>
    </w:p>
    <w:p w14:paraId="038FADE4" w14:textId="77777777" w:rsidR="00C8510F" w:rsidRPr="00903152" w:rsidRDefault="00C8510F" w:rsidP="006F6EC7">
      <w:pPr>
        <w:pStyle w:val="Heading2"/>
        <w:rPr>
          <w:lang w:val="en-NZ"/>
        </w:rPr>
      </w:pPr>
      <w:r w:rsidRPr="00903152">
        <w:rPr>
          <w:lang w:val="en-NZ"/>
        </w:rPr>
        <w:t>Janine Hoete-Thornton, general manager</w:t>
      </w:r>
    </w:p>
    <w:p w14:paraId="5FF47B84" w14:textId="22CC6D6F" w:rsidR="00C8510F" w:rsidRPr="00C8510F" w:rsidRDefault="00C8510F" w:rsidP="00C8510F">
      <w:pPr>
        <w:rPr>
          <w:lang w:val="en-NZ"/>
        </w:rPr>
      </w:pPr>
      <w:r w:rsidRPr="00C8510F">
        <w:rPr>
          <w:lang w:val="en-NZ"/>
        </w:rPr>
        <w:t xml:space="preserve">As the general manager for the Central region of CCS Disability Action, I am proud of the outstanding outcomes we have seen in the </w:t>
      </w:r>
      <w:r w:rsidRPr="007A0FB4">
        <w:rPr>
          <w:lang w:val="mi-NZ"/>
        </w:rPr>
        <w:t>Manawatū/Horowhenua</w:t>
      </w:r>
      <w:r w:rsidRPr="00C8510F">
        <w:rPr>
          <w:lang w:val="en-NZ"/>
        </w:rPr>
        <w:t xml:space="preserve"> branch, with the team growing there knowledge in what it takes to have a real genuine person-directed way of working. Our team continue to work across all services, and we can all be proud of the positive impact it has had on the people we support.</w:t>
      </w:r>
    </w:p>
    <w:p w14:paraId="479D0AEB" w14:textId="6878AFDF" w:rsidR="0069303C" w:rsidRDefault="00C8510F" w:rsidP="00C8510F">
      <w:pPr>
        <w:rPr>
          <w:lang w:val="en-NZ"/>
        </w:rPr>
      </w:pPr>
      <w:r w:rsidRPr="00C8510F">
        <w:rPr>
          <w:lang w:val="en-NZ"/>
        </w:rPr>
        <w:t xml:space="preserve">We recently held a successful branch planning day alongside </w:t>
      </w:r>
      <w:r w:rsidRPr="007A0FB4">
        <w:rPr>
          <w:lang w:val="mi-NZ"/>
        </w:rPr>
        <w:t>Wanganui</w:t>
      </w:r>
      <w:r w:rsidRPr="00C8510F">
        <w:rPr>
          <w:lang w:val="en-NZ"/>
        </w:rPr>
        <w:t xml:space="preserve"> where we discussed how we could bring our new strategic priorities, </w:t>
      </w:r>
      <w:r w:rsidRPr="008F68D2">
        <w:rPr>
          <w:lang w:val="mi-NZ"/>
        </w:rPr>
        <w:t>Te Aronui,</w:t>
      </w:r>
      <w:r w:rsidRPr="00C8510F">
        <w:rPr>
          <w:lang w:val="en-NZ"/>
        </w:rPr>
        <w:t xml:space="preserve"> to life. Our strategic areas of focus are:</w:t>
      </w:r>
    </w:p>
    <w:p w14:paraId="7B799456" w14:textId="26105AED" w:rsidR="00C8510F" w:rsidRPr="000411A6" w:rsidRDefault="00C8510F" w:rsidP="000411A6">
      <w:pPr>
        <w:pStyle w:val="ListParagraph"/>
        <w:numPr>
          <w:ilvl w:val="0"/>
          <w:numId w:val="15"/>
        </w:numPr>
        <w:rPr>
          <w:lang w:val="mi-NZ"/>
        </w:rPr>
      </w:pPr>
      <w:r w:rsidRPr="000411A6">
        <w:rPr>
          <w:lang w:val="en-NZ"/>
        </w:rPr>
        <w:t xml:space="preserve">Disabled people: </w:t>
      </w:r>
      <w:r w:rsidRPr="000411A6">
        <w:rPr>
          <w:lang w:val="mi-NZ"/>
        </w:rPr>
        <w:t>Whānau hauā</w:t>
      </w:r>
    </w:p>
    <w:p w14:paraId="023C9CF5" w14:textId="44D09C3F" w:rsidR="00C8510F" w:rsidRPr="000411A6" w:rsidRDefault="00C8510F" w:rsidP="000411A6">
      <w:pPr>
        <w:pStyle w:val="ListParagraph"/>
        <w:numPr>
          <w:ilvl w:val="0"/>
          <w:numId w:val="15"/>
        </w:numPr>
        <w:rPr>
          <w:lang w:val="mi-NZ"/>
        </w:rPr>
      </w:pPr>
      <w:r w:rsidRPr="000411A6">
        <w:rPr>
          <w:lang w:val="en-NZ"/>
        </w:rPr>
        <w:t xml:space="preserve">Knowledge: </w:t>
      </w:r>
      <w:r w:rsidRPr="000411A6">
        <w:rPr>
          <w:lang w:val="mi-NZ"/>
        </w:rPr>
        <w:t>Mātauranga</w:t>
      </w:r>
    </w:p>
    <w:p w14:paraId="6A5E2444" w14:textId="31FD1AAE" w:rsidR="00C8510F" w:rsidRPr="000411A6" w:rsidRDefault="00C8510F" w:rsidP="000411A6">
      <w:pPr>
        <w:pStyle w:val="ListParagraph"/>
        <w:numPr>
          <w:ilvl w:val="0"/>
          <w:numId w:val="15"/>
        </w:numPr>
        <w:rPr>
          <w:lang w:val="mi-NZ"/>
        </w:rPr>
      </w:pPr>
      <w:r w:rsidRPr="000411A6">
        <w:rPr>
          <w:lang w:val="en-NZ"/>
        </w:rPr>
        <w:lastRenderedPageBreak/>
        <w:t xml:space="preserve">Connectedness: </w:t>
      </w:r>
      <w:r w:rsidRPr="000411A6">
        <w:rPr>
          <w:lang w:val="mi-NZ"/>
        </w:rPr>
        <w:t>Whanaungatanga</w:t>
      </w:r>
    </w:p>
    <w:p w14:paraId="78FFFF56" w14:textId="40C52D79" w:rsidR="00C8510F" w:rsidRPr="000411A6" w:rsidRDefault="00C8510F" w:rsidP="000411A6">
      <w:pPr>
        <w:pStyle w:val="ListParagraph"/>
        <w:numPr>
          <w:ilvl w:val="0"/>
          <w:numId w:val="15"/>
        </w:numPr>
        <w:rPr>
          <w:lang w:val="mi-NZ"/>
        </w:rPr>
      </w:pPr>
      <w:r w:rsidRPr="000411A6">
        <w:rPr>
          <w:lang w:val="en-NZ"/>
        </w:rPr>
        <w:t xml:space="preserve">Wellbeing: </w:t>
      </w:r>
      <w:r w:rsidRPr="000411A6">
        <w:rPr>
          <w:lang w:val="mi-NZ"/>
        </w:rPr>
        <w:t>Hauora</w:t>
      </w:r>
    </w:p>
    <w:p w14:paraId="774C925A" w14:textId="77777777" w:rsidR="00C8510F" w:rsidRPr="00C8510F" w:rsidRDefault="00C8510F" w:rsidP="00C8510F">
      <w:pPr>
        <w:rPr>
          <w:lang w:val="en-NZ"/>
        </w:rPr>
      </w:pPr>
      <w:r w:rsidRPr="00C8510F">
        <w:rPr>
          <w:lang w:val="en-NZ"/>
        </w:rPr>
        <w:t xml:space="preserve">The simpler but meaningful areas of focus supported an effective planning process, and I am excited to see the results of this </w:t>
      </w:r>
      <w:r w:rsidRPr="00A7084B">
        <w:rPr>
          <w:lang w:val="mi-NZ"/>
        </w:rPr>
        <w:t>mahi</w:t>
      </w:r>
      <w:r w:rsidRPr="00C8510F">
        <w:rPr>
          <w:lang w:val="en-NZ"/>
        </w:rPr>
        <w:t xml:space="preserve"> in the year to come.</w:t>
      </w:r>
    </w:p>
    <w:p w14:paraId="4F9772AB" w14:textId="77777777" w:rsidR="00C8510F" w:rsidRPr="00C8510F" w:rsidRDefault="00C8510F" w:rsidP="00C8510F">
      <w:pPr>
        <w:rPr>
          <w:lang w:val="en-NZ"/>
        </w:rPr>
      </w:pPr>
      <w:r w:rsidRPr="00C8510F">
        <w:rPr>
          <w:lang w:val="en-NZ"/>
        </w:rPr>
        <w:t>In terms of our financial health, we continue to be challenged by the ever-changing environment in which we live and work, we are working to grow our services and will continue to monitor the situation of the branch. For this I would like to thank our local executive committee for their support as we move through things that challenge us.</w:t>
      </w:r>
    </w:p>
    <w:p w14:paraId="0016DA39" w14:textId="77777777" w:rsidR="00C8510F" w:rsidRPr="00C8510F" w:rsidRDefault="00C8510F" w:rsidP="00C8510F">
      <w:pPr>
        <w:rPr>
          <w:lang w:val="en-NZ"/>
        </w:rPr>
      </w:pPr>
      <w:r w:rsidRPr="00C8510F">
        <w:rPr>
          <w:lang w:val="en-NZ"/>
        </w:rPr>
        <w:t>Our focus for the future is building relationships across the region – connecting through team building and regional events. It’s important to increase connectedness as the more we know about each other, the more we can support each other. This in turn helps us to serve disabled people more effectively.</w:t>
      </w:r>
    </w:p>
    <w:p w14:paraId="1CFA8CF6" w14:textId="126AE2DB" w:rsidR="00C8510F" w:rsidRDefault="00C8510F" w:rsidP="00C8510F">
      <w:pPr>
        <w:rPr>
          <w:lang w:val="en-NZ"/>
        </w:rPr>
      </w:pPr>
      <w:r w:rsidRPr="00C8510F">
        <w:rPr>
          <w:lang w:val="en-NZ"/>
        </w:rPr>
        <w:t xml:space="preserve">We will continue to grow our disability leadership and </w:t>
      </w:r>
      <w:r w:rsidRPr="00A7084B">
        <w:rPr>
          <w:lang w:val="mi-NZ"/>
        </w:rPr>
        <w:t>Māori</w:t>
      </w:r>
      <w:r w:rsidRPr="00C8510F">
        <w:rPr>
          <w:lang w:val="en-NZ"/>
        </w:rPr>
        <w:t xml:space="preserve"> leadership and development – and understanding </w:t>
      </w:r>
      <w:r w:rsidRPr="00C8510F">
        <w:rPr>
          <w:lang w:val="en-NZ"/>
        </w:rPr>
        <w:lastRenderedPageBreak/>
        <w:t>what underpins these areas within our organisation at a strategic level. We have also seen a greater focus on responding to our quality assurance processes – and ensuring we have a culture that is open and responsive to feedback for the benefit of disabled people.</w:t>
      </w:r>
    </w:p>
    <w:p w14:paraId="417668AA" w14:textId="77777777" w:rsidR="00C8510F" w:rsidRPr="00712077" w:rsidRDefault="00C8510F" w:rsidP="006F6EC7">
      <w:pPr>
        <w:pStyle w:val="Heading3"/>
        <w:rPr>
          <w:lang w:val="en-NZ"/>
        </w:rPr>
      </w:pPr>
      <w:r w:rsidRPr="00712077">
        <w:rPr>
          <w:lang w:val="en-NZ"/>
        </w:rPr>
        <w:t>Acknowledgements</w:t>
      </w:r>
    </w:p>
    <w:p w14:paraId="62EF0D4F" w14:textId="5A72660E" w:rsidR="00C8510F" w:rsidRDefault="00C8510F" w:rsidP="00C8510F">
      <w:pPr>
        <w:rPr>
          <w:lang w:val="en-NZ"/>
        </w:rPr>
      </w:pPr>
      <w:r w:rsidRPr="00C8510F">
        <w:rPr>
          <w:lang w:val="en-NZ"/>
        </w:rPr>
        <w:t>Finally, I would like to thank all who have supported us including:</w:t>
      </w:r>
    </w:p>
    <w:p w14:paraId="565FB231" w14:textId="5040B517" w:rsidR="00C8510F" w:rsidRPr="00C57F7C" w:rsidRDefault="00C8510F" w:rsidP="00C57F7C">
      <w:pPr>
        <w:pStyle w:val="ListParagraph"/>
        <w:numPr>
          <w:ilvl w:val="0"/>
          <w:numId w:val="16"/>
        </w:numPr>
        <w:rPr>
          <w:lang w:val="en-NZ"/>
        </w:rPr>
      </w:pPr>
      <w:r w:rsidRPr="00C57F7C">
        <w:rPr>
          <w:lang w:val="en-NZ"/>
        </w:rPr>
        <w:t>Disabled people and families who allow us into their lives.</w:t>
      </w:r>
    </w:p>
    <w:p w14:paraId="3043F3FE" w14:textId="2DA5F520" w:rsidR="00C8510F" w:rsidRPr="00C57F7C" w:rsidRDefault="00C8510F" w:rsidP="00C57F7C">
      <w:pPr>
        <w:pStyle w:val="ListParagraph"/>
        <w:numPr>
          <w:ilvl w:val="0"/>
          <w:numId w:val="16"/>
        </w:numPr>
        <w:rPr>
          <w:lang w:val="en-NZ"/>
        </w:rPr>
      </w:pPr>
      <w:r w:rsidRPr="00C57F7C">
        <w:rPr>
          <w:lang w:val="en-NZ"/>
        </w:rPr>
        <w:t>Our staff who continue to work tirelessly under the leadership of service manager, Scott Richards.</w:t>
      </w:r>
    </w:p>
    <w:p w14:paraId="39F42A38" w14:textId="3290CA51" w:rsidR="00C8510F" w:rsidRPr="00C57F7C" w:rsidRDefault="00C8510F" w:rsidP="00C57F7C">
      <w:pPr>
        <w:pStyle w:val="ListParagraph"/>
        <w:numPr>
          <w:ilvl w:val="0"/>
          <w:numId w:val="16"/>
        </w:numPr>
        <w:rPr>
          <w:lang w:val="en-NZ"/>
        </w:rPr>
      </w:pPr>
      <w:r w:rsidRPr="00C57F7C">
        <w:rPr>
          <w:lang w:val="en-NZ"/>
        </w:rPr>
        <w:t>Our branch members.</w:t>
      </w:r>
    </w:p>
    <w:p w14:paraId="6704831A" w14:textId="73D2102E" w:rsidR="00C8510F" w:rsidRPr="00C57F7C" w:rsidRDefault="00C8510F" w:rsidP="00C57F7C">
      <w:pPr>
        <w:pStyle w:val="ListParagraph"/>
        <w:numPr>
          <w:ilvl w:val="0"/>
          <w:numId w:val="16"/>
        </w:numPr>
        <w:rPr>
          <w:lang w:val="en-NZ"/>
        </w:rPr>
      </w:pPr>
      <w:r w:rsidRPr="00C57F7C">
        <w:rPr>
          <w:lang w:val="en-NZ"/>
        </w:rPr>
        <w:t>Volunteers, funders, and sponsors.</w:t>
      </w:r>
    </w:p>
    <w:p w14:paraId="332677B4" w14:textId="586564C2" w:rsidR="00C8510F" w:rsidRPr="00C57F7C" w:rsidRDefault="00C8510F" w:rsidP="00C57F7C">
      <w:pPr>
        <w:pStyle w:val="ListParagraph"/>
        <w:numPr>
          <w:ilvl w:val="0"/>
          <w:numId w:val="16"/>
        </w:numPr>
        <w:rPr>
          <w:lang w:val="en-NZ"/>
        </w:rPr>
      </w:pPr>
      <w:r w:rsidRPr="00C57F7C">
        <w:rPr>
          <w:lang w:val="en-NZ"/>
        </w:rPr>
        <w:t>Our local advisory and executive committee, particularly Bryan Skinner and David Matthews, for their guidance and support.</w:t>
      </w:r>
    </w:p>
    <w:p w14:paraId="71C207E4" w14:textId="11524F06" w:rsidR="00C8510F" w:rsidRPr="00C57F7C" w:rsidRDefault="00C8510F" w:rsidP="00C57F7C">
      <w:pPr>
        <w:pStyle w:val="ListParagraph"/>
        <w:numPr>
          <w:ilvl w:val="0"/>
          <w:numId w:val="16"/>
        </w:numPr>
        <w:rPr>
          <w:lang w:val="en-NZ"/>
        </w:rPr>
      </w:pPr>
      <w:r w:rsidRPr="00C57F7C">
        <w:rPr>
          <w:lang w:val="en-NZ"/>
        </w:rPr>
        <w:t>Our regional representative to the national board Len Lidbetter.</w:t>
      </w:r>
    </w:p>
    <w:p w14:paraId="2AD384F0" w14:textId="77777777" w:rsidR="00C8510F" w:rsidRPr="00903152" w:rsidRDefault="00C8510F" w:rsidP="006F6EC7">
      <w:pPr>
        <w:pStyle w:val="Heading2"/>
        <w:rPr>
          <w:lang w:val="en-NZ"/>
        </w:rPr>
      </w:pPr>
      <w:r w:rsidRPr="00903152">
        <w:rPr>
          <w:bCs/>
          <w:lang w:val="en-NZ"/>
        </w:rPr>
        <w:lastRenderedPageBreak/>
        <w:t>Bryan Skinner,</w:t>
      </w:r>
      <w:r w:rsidRPr="00903152">
        <w:rPr>
          <w:lang w:val="en-NZ"/>
        </w:rPr>
        <w:t xml:space="preserve"> chair, local advisory committee</w:t>
      </w:r>
    </w:p>
    <w:p w14:paraId="0F9FB093" w14:textId="77777777" w:rsidR="00C8510F" w:rsidRPr="00903152" w:rsidRDefault="00C8510F" w:rsidP="006F6EC7">
      <w:pPr>
        <w:pStyle w:val="Heading3"/>
        <w:rPr>
          <w:lang w:val="en-NZ"/>
        </w:rPr>
      </w:pPr>
      <w:r w:rsidRPr="00903152">
        <w:rPr>
          <w:lang w:val="en-NZ"/>
        </w:rPr>
        <w:t>Highlights</w:t>
      </w:r>
    </w:p>
    <w:p w14:paraId="7C45B284" w14:textId="77777777" w:rsidR="00C8510F" w:rsidRPr="00C8510F" w:rsidRDefault="00C8510F" w:rsidP="00C8510F">
      <w:pPr>
        <w:rPr>
          <w:lang w:val="en-NZ"/>
        </w:rPr>
      </w:pPr>
      <w:r w:rsidRPr="00C8510F">
        <w:rPr>
          <w:lang w:val="en-NZ"/>
        </w:rPr>
        <w:t>The branch has had a successful year with several notable events and engagements. One of the highlights was our participation in the International Day of Persons with Disabilities celebrations on 3 December. CCS Disability Action had a strong presence at this well attended community event.</w:t>
      </w:r>
    </w:p>
    <w:p w14:paraId="18DE7E39" w14:textId="77777777" w:rsidR="00C8510F" w:rsidRPr="00C8510F" w:rsidRDefault="00C8510F" w:rsidP="00C8510F">
      <w:pPr>
        <w:rPr>
          <w:lang w:val="en-NZ"/>
        </w:rPr>
      </w:pPr>
      <w:r w:rsidRPr="00C8510F">
        <w:rPr>
          <w:lang w:val="en-NZ"/>
        </w:rPr>
        <w:t>There is a positive atmosphere overall within the branch with staff focussed on delivering high-quality support for the community. It is crucial to support individuals in the community and ensure that everyone who requires support receives appropriate funding – the remains our challenge, one that I believe the team are up for.</w:t>
      </w:r>
    </w:p>
    <w:p w14:paraId="2A9D0562" w14:textId="77777777" w:rsidR="00C8510F" w:rsidRPr="00712077" w:rsidRDefault="00C8510F" w:rsidP="006F6EC7">
      <w:pPr>
        <w:pStyle w:val="Heading3"/>
        <w:rPr>
          <w:lang w:val="en-NZ"/>
        </w:rPr>
      </w:pPr>
      <w:r w:rsidRPr="00712077">
        <w:rPr>
          <w:lang w:val="en-NZ"/>
        </w:rPr>
        <w:t>Governance</w:t>
      </w:r>
    </w:p>
    <w:p w14:paraId="64E44EAD" w14:textId="77777777" w:rsidR="00C8510F" w:rsidRPr="00C8510F" w:rsidRDefault="00C8510F" w:rsidP="00C8510F">
      <w:pPr>
        <w:rPr>
          <w:lang w:val="en-NZ"/>
        </w:rPr>
      </w:pPr>
      <w:r w:rsidRPr="00C8510F">
        <w:rPr>
          <w:lang w:val="en-NZ"/>
        </w:rPr>
        <w:t xml:space="preserve">From a governance perspective, our meetings are well run, and the branch has successfully maintained the current level of local area committee members. This </w:t>
      </w:r>
      <w:r w:rsidRPr="00C8510F">
        <w:rPr>
          <w:lang w:val="en-NZ"/>
        </w:rPr>
        <w:lastRenderedPageBreak/>
        <w:t>stability in leadership has been a positive aspect of our operations.</w:t>
      </w:r>
    </w:p>
    <w:p w14:paraId="25AB2707" w14:textId="77777777" w:rsidR="00C8510F" w:rsidRPr="00712077" w:rsidRDefault="00C8510F" w:rsidP="006F6EC7">
      <w:pPr>
        <w:pStyle w:val="Heading3"/>
        <w:rPr>
          <w:lang w:val="en-NZ"/>
        </w:rPr>
      </w:pPr>
      <w:r w:rsidRPr="006F6EC7">
        <w:t>Challenges</w:t>
      </w:r>
    </w:p>
    <w:p w14:paraId="3EC08A43" w14:textId="7FE98126" w:rsidR="00C8510F" w:rsidRDefault="00C8510F" w:rsidP="00C8510F">
      <w:pPr>
        <w:rPr>
          <w:lang w:val="en-NZ"/>
        </w:rPr>
      </w:pPr>
      <w:r w:rsidRPr="00C8510F">
        <w:rPr>
          <w:lang w:val="en-NZ"/>
        </w:rPr>
        <w:t>A significant issue for the committee has been illness, and we have had a lack of a quorum on occasion as a result. Efforts are being made to recruit more committee members to prevent such occurrences in the future, but it is increasingly difficult to get people who are interested in stepping into governance roles.</w:t>
      </w:r>
    </w:p>
    <w:p w14:paraId="7E9F385C" w14:textId="77777777" w:rsidR="00C8510F" w:rsidRPr="00C8510F" w:rsidRDefault="00C8510F" w:rsidP="00C8510F">
      <w:pPr>
        <w:rPr>
          <w:lang w:val="en-NZ"/>
        </w:rPr>
      </w:pPr>
      <w:r w:rsidRPr="00C8510F">
        <w:rPr>
          <w:lang w:val="en-NZ"/>
        </w:rPr>
        <w:t>As we look to a new, more increasingly competitive environment, a strong local voice and responsiveness will be essential. There is a recognised need to leverage social media to engage more young people in the committee and raise awareness about our work and this is an area we are interested in seeing our organisation further develop.</w:t>
      </w:r>
    </w:p>
    <w:p w14:paraId="3D4224B2" w14:textId="77777777" w:rsidR="00C8510F" w:rsidRPr="00712077" w:rsidRDefault="00C8510F" w:rsidP="006F6EC7">
      <w:pPr>
        <w:pStyle w:val="Heading3"/>
        <w:rPr>
          <w:lang w:val="en-NZ"/>
        </w:rPr>
      </w:pPr>
      <w:r w:rsidRPr="006F6EC7">
        <w:lastRenderedPageBreak/>
        <w:t>Acknowledgements</w:t>
      </w:r>
    </w:p>
    <w:p w14:paraId="2D86A37F" w14:textId="77777777" w:rsidR="00C8510F" w:rsidRPr="00C8510F" w:rsidRDefault="00C8510F" w:rsidP="00C8510F">
      <w:pPr>
        <w:rPr>
          <w:lang w:val="en-NZ"/>
        </w:rPr>
      </w:pPr>
      <w:r w:rsidRPr="00C8510F">
        <w:rPr>
          <w:lang w:val="en-NZ"/>
        </w:rPr>
        <w:t>A special thanks goes out to all our team, particularly those working weekends and doing sleepovers. Your support is greatly appreciated.</w:t>
      </w:r>
    </w:p>
    <w:p w14:paraId="213B0905" w14:textId="77777777" w:rsidR="00C8510F" w:rsidRPr="00903152" w:rsidRDefault="00C8510F" w:rsidP="006F6EC7">
      <w:pPr>
        <w:pStyle w:val="Heading2"/>
        <w:rPr>
          <w:lang w:val="en-NZ"/>
        </w:rPr>
      </w:pPr>
      <w:r w:rsidRPr="00903152">
        <w:rPr>
          <w:bCs/>
          <w:lang w:val="en-NZ"/>
        </w:rPr>
        <w:t>Len Lidbetter,</w:t>
      </w:r>
      <w:r w:rsidRPr="00903152">
        <w:rPr>
          <w:lang w:val="en-NZ"/>
        </w:rPr>
        <w:t xml:space="preserve"> regionally elected representative to the national board</w:t>
      </w:r>
    </w:p>
    <w:p w14:paraId="529BA073" w14:textId="7859BD24" w:rsidR="00C8510F" w:rsidRPr="00C8510F" w:rsidRDefault="00C8510F" w:rsidP="00C8510F">
      <w:pPr>
        <w:rPr>
          <w:lang w:val="en-NZ"/>
        </w:rPr>
      </w:pPr>
      <w:r w:rsidRPr="00C8510F">
        <w:rPr>
          <w:lang w:val="en-NZ"/>
        </w:rPr>
        <w:t>The board has spent time looking at the future of our governance structure. We have been aware for some time of the requirement to re-register as an Incorporated Society by April 2026 to comply with the changes to the Incorporated Societies Act – which were legally adopted in 2022.</w:t>
      </w:r>
    </w:p>
    <w:p w14:paraId="37674D4B" w14:textId="26B73E5F" w:rsidR="00C8510F" w:rsidRPr="00C8510F" w:rsidRDefault="00C8510F" w:rsidP="00C8510F">
      <w:pPr>
        <w:rPr>
          <w:lang w:val="en-NZ"/>
        </w:rPr>
      </w:pPr>
      <w:r w:rsidRPr="00C8510F">
        <w:rPr>
          <w:lang w:val="en-NZ"/>
        </w:rPr>
        <w:t>Many of the changes relate to constitutional requirements, and an updated national and branch constitution are required as part of the registration process to comply with the new Act.</w:t>
      </w:r>
    </w:p>
    <w:p w14:paraId="110D1735" w14:textId="5EE091A2" w:rsidR="00C8510F" w:rsidRPr="002C0AD1" w:rsidRDefault="00C8510F" w:rsidP="00C8510F">
      <w:pPr>
        <w:rPr>
          <w:lang w:val="mi-NZ"/>
        </w:rPr>
      </w:pPr>
      <w:r w:rsidRPr="00C8510F">
        <w:rPr>
          <w:lang w:val="en-NZ"/>
        </w:rPr>
        <w:t xml:space="preserve">After several years of governance forum conversations, touching on the challenges of our current governance structure and operational impact, the national board is </w:t>
      </w:r>
      <w:r w:rsidRPr="00C8510F">
        <w:rPr>
          <w:lang w:val="en-NZ"/>
        </w:rPr>
        <w:lastRenderedPageBreak/>
        <w:t xml:space="preserve">taking the need for re-registration as an opportunity to consider and investigate what the best governance structure could be for CCS Disability Action. Our aim is to be fit for purpose going forward and ensure we are relevant to and of service to Disabled People – </w:t>
      </w:r>
      <w:r w:rsidRPr="002C0AD1">
        <w:rPr>
          <w:lang w:val="mi-NZ"/>
        </w:rPr>
        <w:t>Whānau hauā,</w:t>
      </w:r>
      <w:r w:rsidRPr="00C8510F">
        <w:rPr>
          <w:lang w:val="en-NZ"/>
        </w:rPr>
        <w:t xml:space="preserve"> whilst upholding our vision, </w:t>
      </w:r>
      <w:r w:rsidRPr="002C0AD1">
        <w:rPr>
          <w:lang w:val="mi-NZ"/>
        </w:rPr>
        <w:t>Te Aronui.</w:t>
      </w:r>
    </w:p>
    <w:p w14:paraId="3E400161" w14:textId="77777777" w:rsidR="00C8510F" w:rsidRPr="00C8510F" w:rsidRDefault="00C8510F" w:rsidP="00C8510F">
      <w:pPr>
        <w:rPr>
          <w:lang w:val="en-NZ"/>
        </w:rPr>
      </w:pPr>
      <w:r w:rsidRPr="00C8510F">
        <w:rPr>
          <w:lang w:val="en-NZ"/>
        </w:rPr>
        <w:t>Part of this we felt, would be a stable and knowledgeable board to guide us through the process.</w:t>
      </w:r>
    </w:p>
    <w:p w14:paraId="2B8D7920" w14:textId="034CC912" w:rsidR="00C8510F" w:rsidRDefault="00C8510F" w:rsidP="00C8510F">
      <w:pPr>
        <w:rPr>
          <w:lang w:val="en-NZ"/>
        </w:rPr>
      </w:pPr>
      <w:r w:rsidRPr="00C8510F">
        <w:rPr>
          <w:lang w:val="en-NZ"/>
        </w:rPr>
        <w:t>We are looking for a governance structure that will:</w:t>
      </w:r>
    </w:p>
    <w:p w14:paraId="3D4896DD" w14:textId="776E9B2C" w:rsidR="00C8510F" w:rsidRPr="002C0AD1" w:rsidRDefault="00C8510F" w:rsidP="002C0AD1">
      <w:pPr>
        <w:pStyle w:val="ListParagraph"/>
        <w:numPr>
          <w:ilvl w:val="0"/>
          <w:numId w:val="17"/>
        </w:numPr>
        <w:rPr>
          <w:lang w:val="en-NZ"/>
        </w:rPr>
      </w:pPr>
      <w:r w:rsidRPr="002C0AD1">
        <w:rPr>
          <w:lang w:val="en-NZ"/>
        </w:rPr>
        <w:t xml:space="preserve">Ensure that disabled people are at the heart of what we do and how we work, as illustrated in </w:t>
      </w:r>
      <w:r w:rsidRPr="002C0AD1">
        <w:rPr>
          <w:lang w:val="mi-NZ"/>
        </w:rPr>
        <w:t>Te Aronui.</w:t>
      </w:r>
    </w:p>
    <w:p w14:paraId="24D06D0F" w14:textId="6903DC7B" w:rsidR="00C8510F" w:rsidRPr="002C0AD1" w:rsidRDefault="00C8510F" w:rsidP="002C0AD1">
      <w:pPr>
        <w:pStyle w:val="ListParagraph"/>
        <w:numPr>
          <w:ilvl w:val="0"/>
          <w:numId w:val="17"/>
        </w:numPr>
        <w:rPr>
          <w:lang w:val="en-NZ"/>
        </w:rPr>
      </w:pPr>
      <w:r w:rsidRPr="002C0AD1">
        <w:rPr>
          <w:lang w:val="en-NZ"/>
        </w:rPr>
        <w:t>Enable governance members to meet their responsibilities through timeliness and quality of information and reporting.</w:t>
      </w:r>
    </w:p>
    <w:p w14:paraId="33CA74E8" w14:textId="0F3C80D7" w:rsidR="00C8510F" w:rsidRPr="002C0AD1" w:rsidRDefault="00C8510F" w:rsidP="002C0AD1">
      <w:pPr>
        <w:pStyle w:val="ListParagraph"/>
        <w:numPr>
          <w:ilvl w:val="0"/>
          <w:numId w:val="17"/>
        </w:numPr>
        <w:rPr>
          <w:lang w:val="en-NZ"/>
        </w:rPr>
      </w:pPr>
      <w:r w:rsidRPr="002C0AD1">
        <w:rPr>
          <w:lang w:val="en-NZ"/>
        </w:rPr>
        <w:t>Ensure a healthy and positive relationship between governance and management.</w:t>
      </w:r>
    </w:p>
    <w:p w14:paraId="55F9BEAE" w14:textId="3991D4F4" w:rsidR="00C8510F" w:rsidRDefault="00C8510F" w:rsidP="00C8510F">
      <w:pPr>
        <w:rPr>
          <w:lang w:val="en-NZ"/>
        </w:rPr>
      </w:pPr>
      <w:r w:rsidRPr="00C8510F">
        <w:rPr>
          <w:lang w:val="en-NZ"/>
        </w:rPr>
        <w:t>I am looking forward to a productive and busy 2024.</w:t>
      </w:r>
    </w:p>
    <w:p w14:paraId="361628DB" w14:textId="77777777" w:rsidR="00C8510F" w:rsidRPr="00C8510F" w:rsidRDefault="00C8510F" w:rsidP="002C0AD1">
      <w:pPr>
        <w:pStyle w:val="Heading1"/>
        <w:rPr>
          <w:lang w:val="en-NZ"/>
        </w:rPr>
      </w:pPr>
      <w:bookmarkStart w:id="13" w:name="_Toc156486820"/>
      <w:bookmarkStart w:id="14" w:name="_Toc157079040"/>
      <w:r w:rsidRPr="00C8510F">
        <w:rPr>
          <w:lang w:val="en-NZ"/>
        </w:rPr>
        <w:lastRenderedPageBreak/>
        <w:t>Local Executive Committee report</w:t>
      </w:r>
      <w:bookmarkEnd w:id="13"/>
      <w:bookmarkEnd w:id="14"/>
    </w:p>
    <w:p w14:paraId="0B2A1BB9" w14:textId="77777777" w:rsidR="00C8510F" w:rsidRPr="00903152" w:rsidRDefault="00C8510F" w:rsidP="006F6EC7">
      <w:pPr>
        <w:pStyle w:val="Heading2"/>
        <w:rPr>
          <w:lang w:val="en-NZ"/>
        </w:rPr>
      </w:pPr>
      <w:r w:rsidRPr="00903152">
        <w:rPr>
          <w:bCs/>
          <w:lang w:val="en-NZ"/>
        </w:rPr>
        <w:t>David Matthews (QSO),</w:t>
      </w:r>
      <w:r w:rsidRPr="00903152">
        <w:rPr>
          <w:lang w:val="en-NZ"/>
        </w:rPr>
        <w:t xml:space="preserve"> chair, local executive committee</w:t>
      </w:r>
    </w:p>
    <w:p w14:paraId="69764A97" w14:textId="77777777" w:rsidR="00C8510F" w:rsidRPr="00C8510F" w:rsidRDefault="00C8510F" w:rsidP="00C8510F">
      <w:pPr>
        <w:rPr>
          <w:lang w:val="en-NZ"/>
        </w:rPr>
      </w:pPr>
      <w:r w:rsidRPr="00C8510F">
        <w:rPr>
          <w:lang w:val="en-NZ"/>
        </w:rPr>
        <w:t xml:space="preserve">The </w:t>
      </w:r>
      <w:r w:rsidRPr="002977F3">
        <w:rPr>
          <w:lang w:val="mi-NZ"/>
        </w:rPr>
        <w:t>Manawatū/Horowhenua</w:t>
      </w:r>
      <w:r w:rsidRPr="00C8510F">
        <w:rPr>
          <w:lang w:val="en-NZ"/>
        </w:rPr>
        <w:t xml:space="preserve"> branch has still not been able to form a local executive committee from its community, during the last twelve months, so I have continued to chair this group as requested by the CCS Disability Action National Board.</w:t>
      </w:r>
    </w:p>
    <w:p w14:paraId="7A188082" w14:textId="77777777" w:rsidR="00C8510F" w:rsidRPr="00712077" w:rsidRDefault="00C8510F" w:rsidP="006F6EC7">
      <w:pPr>
        <w:pStyle w:val="Heading3"/>
        <w:rPr>
          <w:lang w:val="en-NZ"/>
        </w:rPr>
      </w:pPr>
      <w:r w:rsidRPr="00712077">
        <w:rPr>
          <w:lang w:val="en-NZ"/>
        </w:rPr>
        <w:t>Challenges</w:t>
      </w:r>
    </w:p>
    <w:p w14:paraId="1906EC85" w14:textId="77777777" w:rsidR="00C8510F" w:rsidRPr="00C8510F" w:rsidRDefault="00C8510F" w:rsidP="00C8510F">
      <w:pPr>
        <w:rPr>
          <w:lang w:val="en-NZ"/>
        </w:rPr>
      </w:pPr>
      <w:r w:rsidRPr="00C8510F">
        <w:rPr>
          <w:lang w:val="en-NZ"/>
        </w:rPr>
        <w:t>As the country emerges from the Covid-19 pandemic, several challenges have emerged including staff shortages, high inflation rates and an unstable world challenged by conflict and global warming events.</w:t>
      </w:r>
    </w:p>
    <w:p w14:paraId="39AC765F" w14:textId="77777777" w:rsidR="00C8510F" w:rsidRPr="00C8510F" w:rsidRDefault="00C8510F" w:rsidP="00C8510F">
      <w:pPr>
        <w:rPr>
          <w:lang w:val="en-NZ"/>
        </w:rPr>
      </w:pPr>
      <w:r w:rsidRPr="00C8510F">
        <w:rPr>
          <w:lang w:val="en-NZ"/>
        </w:rPr>
        <w:t xml:space="preserve">This has impacted on the setting budgets, income streams and unexpected costs and it has also been unsettling to the disability community, the people we support and the whole country. Despite all this, the branch has maintained steady progress during this time, </w:t>
      </w:r>
      <w:r w:rsidRPr="00C8510F">
        <w:rPr>
          <w:lang w:val="en-NZ"/>
        </w:rPr>
        <w:lastRenderedPageBreak/>
        <w:t>maintained and sustained service delivery and managed significant financial pressures.</w:t>
      </w:r>
    </w:p>
    <w:p w14:paraId="2845DC00" w14:textId="77777777" w:rsidR="00C8510F" w:rsidRPr="00C8510F" w:rsidRDefault="00C8510F" w:rsidP="00C8510F">
      <w:pPr>
        <w:rPr>
          <w:lang w:val="en-NZ"/>
        </w:rPr>
      </w:pPr>
      <w:r w:rsidRPr="00C8510F">
        <w:rPr>
          <w:lang w:val="en-NZ"/>
        </w:rPr>
        <w:t>Whilst this year was another tough financial year resulting in an operational deficit, the team has done extremely well to meet the needs of the people we support, their families and the communities they live in. The committee is proud of their efforts and commitment.</w:t>
      </w:r>
    </w:p>
    <w:p w14:paraId="2BE96B13" w14:textId="31029ED8" w:rsidR="00C8510F" w:rsidRPr="00C8510F" w:rsidRDefault="00C8510F" w:rsidP="00C8510F">
      <w:pPr>
        <w:rPr>
          <w:lang w:val="en-NZ"/>
        </w:rPr>
      </w:pPr>
      <w:r w:rsidRPr="00C8510F">
        <w:rPr>
          <w:lang w:val="en-NZ"/>
        </w:rPr>
        <w:t xml:space="preserve">The new </w:t>
      </w:r>
      <w:r w:rsidRPr="0039752A">
        <w:rPr>
          <w:lang w:val="mi-NZ"/>
        </w:rPr>
        <w:t>Whaikaha</w:t>
      </w:r>
      <w:r w:rsidRPr="00C8510F">
        <w:rPr>
          <w:lang w:val="en-NZ"/>
        </w:rPr>
        <w:t xml:space="preserve"> – Ministry of Disabled People is now over one-year old. It is obvious that the new structure will take some time to develop its relationships, systems, and processes but hopefully this will not impact too negatively on the lives of disabled people and their families.</w:t>
      </w:r>
    </w:p>
    <w:p w14:paraId="28AF7E1D" w14:textId="4FCCD97F" w:rsidR="00C8510F" w:rsidRDefault="00C8510F" w:rsidP="00C8510F">
      <w:pPr>
        <w:rPr>
          <w:lang w:val="en-NZ"/>
        </w:rPr>
      </w:pPr>
      <w:r w:rsidRPr="00C8510F">
        <w:rPr>
          <w:lang w:val="en-NZ"/>
        </w:rPr>
        <w:t xml:space="preserve">As more control moves away from organisations to individual disabled people, it is essential that disabled individuals do not fall through the cracks during these transitions. Reputable and experienced organisations like CCS Disability Action </w:t>
      </w:r>
      <w:r w:rsidRPr="001E797D">
        <w:rPr>
          <w:lang w:val="mi-NZ"/>
        </w:rPr>
        <w:t>Manawatū/Horowhenua</w:t>
      </w:r>
      <w:r w:rsidRPr="00C8510F">
        <w:rPr>
          <w:lang w:val="en-NZ"/>
        </w:rPr>
        <w:t xml:space="preserve"> need to be always available to provide support and interventions when crises arise, and systems fail to deliver.</w:t>
      </w:r>
    </w:p>
    <w:p w14:paraId="52F472A0" w14:textId="77777777" w:rsidR="00C8510F" w:rsidRPr="00712077" w:rsidRDefault="00C8510F" w:rsidP="006F6EC7">
      <w:pPr>
        <w:pStyle w:val="Heading3"/>
        <w:rPr>
          <w:lang w:val="en-NZ"/>
        </w:rPr>
      </w:pPr>
      <w:r w:rsidRPr="00712077">
        <w:rPr>
          <w:lang w:val="en-NZ"/>
        </w:rPr>
        <w:lastRenderedPageBreak/>
        <w:t>Financial performance</w:t>
      </w:r>
    </w:p>
    <w:p w14:paraId="1604C987" w14:textId="2FA140F1" w:rsidR="00C8510F" w:rsidRPr="00C8510F" w:rsidRDefault="00C8510F" w:rsidP="00C8510F">
      <w:pPr>
        <w:rPr>
          <w:lang w:val="en-NZ"/>
        </w:rPr>
      </w:pPr>
      <w:r w:rsidRPr="00C8510F">
        <w:rPr>
          <w:lang w:val="en-NZ"/>
        </w:rPr>
        <w:t>This coming year the branch is likely to budget again for a moderate deficit given all the financial challenges facing the branch. A reasonable level of reserves will assist the branch to cope with this unfortunate but understandable situation. The branch continues to remain reliant on donations, bequests and grants as contract income is still underfunded despite recent adjustments.</w:t>
      </w:r>
    </w:p>
    <w:p w14:paraId="50B3FC36" w14:textId="77777777" w:rsidR="00C8510F" w:rsidRPr="00712077" w:rsidRDefault="00C8510F" w:rsidP="006F6EC7">
      <w:pPr>
        <w:pStyle w:val="Heading3"/>
        <w:rPr>
          <w:lang w:val="en-NZ"/>
        </w:rPr>
      </w:pPr>
      <w:r w:rsidRPr="00712077">
        <w:rPr>
          <w:lang w:val="en-NZ"/>
        </w:rPr>
        <w:t>Investment performance</w:t>
      </w:r>
    </w:p>
    <w:p w14:paraId="23DF77FD" w14:textId="77777777" w:rsidR="00C8510F" w:rsidRPr="00C8510F" w:rsidRDefault="00C8510F" w:rsidP="00C8510F">
      <w:pPr>
        <w:rPr>
          <w:lang w:val="en-NZ"/>
        </w:rPr>
      </w:pPr>
      <w:r w:rsidRPr="00C8510F">
        <w:rPr>
          <w:lang w:val="en-NZ"/>
        </w:rPr>
        <w:t>Craig’s Investments have continued to perform well although recent worldwide financial challenges have put real pressure on our investments and impacted the year-end result. Recently the local executive reviewed its investment strategy and decided to take a higher growth approach.</w:t>
      </w:r>
    </w:p>
    <w:p w14:paraId="4F0AEC9E" w14:textId="77777777" w:rsidR="00C8510F" w:rsidRPr="00AD00E2" w:rsidRDefault="00C8510F" w:rsidP="006F6EC7">
      <w:pPr>
        <w:pStyle w:val="Heading3"/>
        <w:rPr>
          <w:lang w:val="en-NZ"/>
        </w:rPr>
      </w:pPr>
      <w:r w:rsidRPr="00AD00E2">
        <w:rPr>
          <w:lang w:val="en-NZ"/>
        </w:rPr>
        <w:t>Acknowledgements</w:t>
      </w:r>
    </w:p>
    <w:p w14:paraId="163A3816" w14:textId="61512192" w:rsidR="00C8510F" w:rsidRPr="00C8510F" w:rsidRDefault="00C8510F" w:rsidP="00C8510F">
      <w:pPr>
        <w:rPr>
          <w:lang w:val="en-NZ"/>
        </w:rPr>
      </w:pPr>
      <w:r w:rsidRPr="00C8510F">
        <w:rPr>
          <w:lang w:val="en-NZ"/>
        </w:rPr>
        <w:t xml:space="preserve">On behalf of the committee, I would like to thank Janine Hoete-Thornton, general manager, Scott Richards, </w:t>
      </w:r>
      <w:r w:rsidRPr="00C8510F">
        <w:rPr>
          <w:lang w:val="en-NZ"/>
        </w:rPr>
        <w:lastRenderedPageBreak/>
        <w:t>service manager, and the staff for the delivery of services and the way they have worked in a challenging environment. I wish them all well for the year ahead.</w:t>
      </w:r>
    </w:p>
    <w:p w14:paraId="7C3C1A01" w14:textId="77777777" w:rsidR="00C8510F" w:rsidRDefault="00C8510F" w:rsidP="00C8510F">
      <w:pPr>
        <w:rPr>
          <w:lang w:val="en-NZ"/>
        </w:rPr>
      </w:pPr>
      <w:r w:rsidRPr="00C8510F">
        <w:rPr>
          <w:lang w:val="en-NZ"/>
        </w:rPr>
        <w:t>I also want to thank my current committee colleagues Len Lidbetter and Robert Scott.</w:t>
      </w:r>
    </w:p>
    <w:p w14:paraId="72F3FF63" w14:textId="4417D6EB" w:rsidR="00C8510F" w:rsidRPr="004B3482" w:rsidRDefault="00C8510F" w:rsidP="00C8510F">
      <w:pPr>
        <w:rPr>
          <w:sz w:val="40"/>
          <w:szCs w:val="40"/>
          <w:lang w:val="en-NZ"/>
        </w:rPr>
      </w:pPr>
      <w:r w:rsidRPr="004B3482">
        <w:rPr>
          <w:sz w:val="40"/>
          <w:szCs w:val="40"/>
          <w:lang w:val="en-NZ"/>
        </w:rPr>
        <w:t>“Whilst this year was another tough financial year resulting in an operational deficit, the team has done extremely well to meet the needs of the people we support, their families and the communities they live in.”</w:t>
      </w:r>
    </w:p>
    <w:p w14:paraId="2AA37407" w14:textId="103195F7" w:rsidR="00C8510F" w:rsidRDefault="00C8510F" w:rsidP="00582B21">
      <w:pPr>
        <w:pStyle w:val="Heading1"/>
        <w:rPr>
          <w:lang w:val="en-NZ"/>
        </w:rPr>
      </w:pPr>
      <w:bookmarkStart w:id="15" w:name="_Toc156486821"/>
      <w:bookmarkStart w:id="16" w:name="_Toc157079041"/>
      <w:r w:rsidRPr="00C8510F">
        <w:rPr>
          <w:lang w:val="en-NZ"/>
        </w:rPr>
        <w:t>Chrissy &amp; Mandy’s story</w:t>
      </w:r>
      <w:bookmarkEnd w:id="15"/>
      <w:bookmarkEnd w:id="16"/>
    </w:p>
    <w:p w14:paraId="5952EA43" w14:textId="4E628904" w:rsidR="00C8510F" w:rsidRPr="00DA4935" w:rsidRDefault="00C8510F" w:rsidP="00C8510F">
      <w:pPr>
        <w:rPr>
          <w:sz w:val="40"/>
          <w:szCs w:val="40"/>
          <w:lang w:val="en-NZ"/>
        </w:rPr>
      </w:pPr>
      <w:r w:rsidRPr="00DA4935">
        <w:rPr>
          <w:sz w:val="40"/>
          <w:szCs w:val="40"/>
          <w:lang w:val="en-NZ"/>
        </w:rPr>
        <w:t>“Chrissy and Mandy are very close. They’ve been a big part of each other’s lives for a long time. It’s great that we’ve been able to put some support around them so they can live together in a way that works for them,”</w:t>
      </w:r>
    </w:p>
    <w:p w14:paraId="77200685" w14:textId="2A3B01FE" w:rsidR="00C8510F" w:rsidRPr="00DA4935" w:rsidRDefault="00C8510F" w:rsidP="00C8510F">
      <w:pPr>
        <w:rPr>
          <w:b/>
          <w:bCs/>
          <w:lang w:val="en-NZ"/>
        </w:rPr>
      </w:pPr>
      <w:r w:rsidRPr="00DA4935">
        <w:rPr>
          <w:b/>
          <w:bCs/>
          <w:lang w:val="en-NZ"/>
        </w:rPr>
        <w:t>– Sharleen Fields.</w:t>
      </w:r>
    </w:p>
    <w:p w14:paraId="19D417CC" w14:textId="77777777" w:rsidR="00C8510F" w:rsidRPr="00C8510F" w:rsidRDefault="00C8510F" w:rsidP="00C8510F">
      <w:pPr>
        <w:rPr>
          <w:lang w:val="en-NZ"/>
        </w:rPr>
      </w:pPr>
      <w:r w:rsidRPr="00C8510F">
        <w:rPr>
          <w:lang w:val="en-NZ"/>
        </w:rPr>
        <w:lastRenderedPageBreak/>
        <w:t>Chrissy Barham and Mandy Sandbrook may be cousins, but the inseparable pair are more like sisters.</w:t>
      </w:r>
    </w:p>
    <w:p w14:paraId="78A1AF7E" w14:textId="77777777" w:rsidR="00C8510F" w:rsidRPr="00C8510F" w:rsidRDefault="00C8510F" w:rsidP="00C8510F">
      <w:pPr>
        <w:rPr>
          <w:lang w:val="en-NZ"/>
        </w:rPr>
      </w:pPr>
      <w:r w:rsidRPr="00C8510F">
        <w:rPr>
          <w:lang w:val="en-NZ"/>
        </w:rPr>
        <w:t xml:space="preserve">The two women have lived in </w:t>
      </w:r>
      <w:r w:rsidRPr="00544405">
        <w:rPr>
          <w:lang w:val="mi-NZ"/>
        </w:rPr>
        <w:t>Manawatū</w:t>
      </w:r>
      <w:r w:rsidRPr="00C8510F">
        <w:rPr>
          <w:lang w:val="en-NZ"/>
        </w:rPr>
        <w:t xml:space="preserve"> for much of their lives and, at times, have lived together with Mandy’s mum and their aunty.</w:t>
      </w:r>
    </w:p>
    <w:p w14:paraId="34C84398" w14:textId="1C5087A3" w:rsidR="00C8510F" w:rsidRDefault="00C8510F" w:rsidP="00C8510F">
      <w:pPr>
        <w:rPr>
          <w:lang w:val="en-NZ"/>
        </w:rPr>
      </w:pPr>
      <w:r w:rsidRPr="00C8510F">
        <w:rPr>
          <w:lang w:val="en-NZ"/>
        </w:rPr>
        <w:t xml:space="preserve">Now, with the support of the team at the CCS Disability Action </w:t>
      </w:r>
      <w:r w:rsidRPr="00F83A92">
        <w:rPr>
          <w:lang w:val="mi-NZ"/>
        </w:rPr>
        <w:t>Manawatū/Horowhenua</w:t>
      </w:r>
      <w:r w:rsidRPr="00C8510F">
        <w:rPr>
          <w:lang w:val="en-NZ"/>
        </w:rPr>
        <w:t xml:space="preserve"> branch, the Feilding-based women live together in a family-owned property.</w:t>
      </w:r>
    </w:p>
    <w:p w14:paraId="26E63942" w14:textId="77777777" w:rsidR="00C8510F" w:rsidRPr="00C8510F" w:rsidRDefault="00C8510F" w:rsidP="00C8510F">
      <w:pPr>
        <w:rPr>
          <w:lang w:val="en-NZ"/>
        </w:rPr>
      </w:pPr>
      <w:r w:rsidRPr="00167153">
        <w:rPr>
          <w:b/>
          <w:bCs/>
          <w:lang w:val="en-NZ"/>
        </w:rPr>
        <w:t xml:space="preserve">“Chrissy and Mandy are very close. They’ve been a big part of each other’s lives for a long time. It’s great that we’ve been able to put some support around them so they can live together in a way that works for them,” </w:t>
      </w:r>
      <w:r w:rsidRPr="00C8510F">
        <w:rPr>
          <w:lang w:val="en-NZ"/>
        </w:rPr>
        <w:t>explains service coordinator Sharleen Fields.</w:t>
      </w:r>
    </w:p>
    <w:p w14:paraId="692F5A3D" w14:textId="77777777" w:rsidR="00C8510F" w:rsidRPr="00C8510F" w:rsidRDefault="00C8510F" w:rsidP="00C8510F">
      <w:pPr>
        <w:rPr>
          <w:lang w:val="en-NZ"/>
        </w:rPr>
      </w:pPr>
      <w:r w:rsidRPr="00C8510F">
        <w:rPr>
          <w:lang w:val="en-NZ"/>
        </w:rPr>
        <w:t xml:space="preserve">Mandy appreciates having Chrissy as a companion. </w:t>
      </w:r>
      <w:r w:rsidRPr="00167153">
        <w:rPr>
          <w:b/>
          <w:bCs/>
          <w:lang w:val="en-NZ"/>
        </w:rPr>
        <w:t>“She’s kind and she’s helpful around the house,”</w:t>
      </w:r>
      <w:r w:rsidRPr="00C8510F">
        <w:rPr>
          <w:lang w:val="en-NZ"/>
        </w:rPr>
        <w:t xml:space="preserve"> she says. Chrissy agrees and also describes Mandy as a kind person who is good to have around.</w:t>
      </w:r>
    </w:p>
    <w:p w14:paraId="73121D33" w14:textId="6EA3032E" w:rsidR="00C8510F" w:rsidRDefault="00C8510F" w:rsidP="00C8510F">
      <w:pPr>
        <w:rPr>
          <w:lang w:val="en-NZ"/>
        </w:rPr>
      </w:pPr>
      <w:r w:rsidRPr="00C8510F">
        <w:rPr>
          <w:lang w:val="en-NZ"/>
        </w:rPr>
        <w:lastRenderedPageBreak/>
        <w:t>Both Chrissy and Mandy have a learning disability which, for them, means they need varying support with everyday activities.</w:t>
      </w:r>
    </w:p>
    <w:p w14:paraId="5041D3FE" w14:textId="77777777" w:rsidR="00C8510F" w:rsidRPr="00C8510F" w:rsidRDefault="00C8510F" w:rsidP="00C8510F">
      <w:pPr>
        <w:rPr>
          <w:lang w:val="en-NZ"/>
        </w:rPr>
      </w:pPr>
      <w:r w:rsidRPr="00C8510F">
        <w:rPr>
          <w:lang w:val="en-NZ"/>
        </w:rPr>
        <w:t>Mandy previously lived in residential care and, to enable her to live independently but safely, and CCS Disability Action organised a team of support workers who live with the pair 24/7.</w:t>
      </w:r>
    </w:p>
    <w:p w14:paraId="086EA25A" w14:textId="77777777" w:rsidR="00C8510F" w:rsidRPr="00C8510F" w:rsidRDefault="00C8510F" w:rsidP="00C8510F">
      <w:pPr>
        <w:rPr>
          <w:lang w:val="en-NZ"/>
        </w:rPr>
      </w:pPr>
      <w:r w:rsidRPr="00C8510F">
        <w:rPr>
          <w:lang w:val="en-NZ"/>
        </w:rPr>
        <w:t>The team of support workers tackle a range of tasks – working alongside Chrissy and Mandy to manage their day-to-day lives, including supporting the women to cook, clean, plan meals, and shop.</w:t>
      </w:r>
    </w:p>
    <w:p w14:paraId="1756F977" w14:textId="77777777" w:rsidR="00C8510F" w:rsidRPr="00C8510F" w:rsidRDefault="00C8510F" w:rsidP="00C8510F">
      <w:pPr>
        <w:rPr>
          <w:lang w:val="en-NZ"/>
        </w:rPr>
      </w:pPr>
      <w:r w:rsidRPr="00C8510F">
        <w:rPr>
          <w:lang w:val="en-NZ"/>
        </w:rPr>
        <w:t>They’re also there for them with all the things they choose to do in the community.</w:t>
      </w:r>
    </w:p>
    <w:p w14:paraId="7EAD087E" w14:textId="77777777" w:rsidR="00C8510F" w:rsidRPr="00C8510F" w:rsidRDefault="00C8510F" w:rsidP="00C8510F">
      <w:pPr>
        <w:rPr>
          <w:lang w:val="en-NZ"/>
        </w:rPr>
      </w:pPr>
      <w:r w:rsidRPr="00C8510F">
        <w:rPr>
          <w:lang w:val="en-NZ"/>
        </w:rPr>
        <w:t>For Mandy, the activities she most values doing with her support workers are going for walks and travelling to Palmerston North for ten-pin bowling, where she attends a Special Olympics group. Mandy also enjoys arts and crafts – particularly making her own cards.</w:t>
      </w:r>
    </w:p>
    <w:p w14:paraId="7EBDDC24" w14:textId="583ECE9A" w:rsidR="00C8510F" w:rsidRDefault="00C8510F" w:rsidP="00C8510F">
      <w:pPr>
        <w:rPr>
          <w:lang w:val="en-NZ"/>
        </w:rPr>
      </w:pPr>
      <w:r w:rsidRPr="00C8510F">
        <w:rPr>
          <w:lang w:val="en-NZ"/>
        </w:rPr>
        <w:lastRenderedPageBreak/>
        <w:t>The team sometimes accompany Mandy to browse local shops, where she loves nothing better than hunting for new Elvis-inspired memorabilia.</w:t>
      </w:r>
    </w:p>
    <w:p w14:paraId="7C88CC19" w14:textId="1B0224E8" w:rsidR="00C8510F" w:rsidRDefault="00C8510F" w:rsidP="00C8510F">
      <w:pPr>
        <w:rPr>
          <w:lang w:val="en-NZ"/>
        </w:rPr>
      </w:pPr>
      <w:r w:rsidRPr="00C8510F">
        <w:rPr>
          <w:lang w:val="en-NZ"/>
        </w:rPr>
        <w:t xml:space="preserve">A quick glance around their home will tell you that Elvis has captured Mandy’s heart (and her lounge). </w:t>
      </w:r>
      <w:r w:rsidRPr="00167153">
        <w:rPr>
          <w:b/>
          <w:bCs/>
          <w:lang w:val="en-NZ"/>
        </w:rPr>
        <w:t>“I like his music and his movies. I collect plates, CDs, books – anything,”</w:t>
      </w:r>
      <w:r w:rsidRPr="00C8510F">
        <w:rPr>
          <w:lang w:val="en-NZ"/>
        </w:rPr>
        <w:t xml:space="preserve"> she says. Debs, one of their support workers, jokes that the fact he was handsome doesn’t hurt either, which Mandy laughingly agrees with.</w:t>
      </w:r>
    </w:p>
    <w:p w14:paraId="57CBB9AA" w14:textId="3F96F617" w:rsidR="00C8510F" w:rsidRPr="00C8510F" w:rsidRDefault="00C8510F" w:rsidP="00C8510F">
      <w:pPr>
        <w:rPr>
          <w:lang w:val="en-NZ"/>
        </w:rPr>
      </w:pPr>
      <w:r w:rsidRPr="00C8510F">
        <w:rPr>
          <w:lang w:val="en-NZ"/>
        </w:rPr>
        <w:t xml:space="preserve">Chrissy lives a full life and says she appreciates her support workers assisting her to get out and about town. She has several part-time jobs Part of Mandy’s collection of that she really enjoys and is good at. This includes paid work both as a cleaner at Mitre 10 and assisting at a local equestrian centre. When asked what she likes best about working, she is definitive. </w:t>
      </w:r>
      <w:r w:rsidRPr="00D80B04">
        <w:rPr>
          <w:b/>
          <w:bCs/>
          <w:lang w:val="en-NZ"/>
        </w:rPr>
        <w:t>“I like to get paid,”</w:t>
      </w:r>
      <w:r w:rsidRPr="00C8510F">
        <w:rPr>
          <w:lang w:val="en-NZ"/>
        </w:rPr>
        <w:t xml:space="preserve"> she says with a laugh. Something that’s certainly hard to argue with.</w:t>
      </w:r>
    </w:p>
    <w:p w14:paraId="3D9E8FCA" w14:textId="77777777" w:rsidR="00C8510F" w:rsidRPr="00C8510F" w:rsidRDefault="00C8510F" w:rsidP="00C8510F">
      <w:pPr>
        <w:rPr>
          <w:lang w:val="en-NZ"/>
        </w:rPr>
      </w:pPr>
      <w:r w:rsidRPr="00C8510F">
        <w:rPr>
          <w:lang w:val="en-NZ"/>
        </w:rPr>
        <w:t>The transition has not been without its challenges.</w:t>
      </w:r>
    </w:p>
    <w:p w14:paraId="3C4E9F64" w14:textId="2CC7DDAB" w:rsidR="00C8510F" w:rsidRDefault="00C8510F" w:rsidP="00C8510F">
      <w:pPr>
        <w:rPr>
          <w:lang w:val="en-NZ"/>
        </w:rPr>
      </w:pPr>
      <w:r w:rsidRPr="00886A48">
        <w:rPr>
          <w:b/>
          <w:bCs/>
          <w:lang w:val="en-NZ"/>
        </w:rPr>
        <w:lastRenderedPageBreak/>
        <w:t>“When you have had very limited choice in residential care, for example, the many decisions you can make in a day can feel overwhelming. A big part of our role is to support Chrissy and Mandy to build up their confidence as ultimately, they’re in charge. There’s so much that they’re capable of doing, so the role of their support workers is to empower them to build their skills and self-belief,”</w:t>
      </w:r>
      <w:r w:rsidRPr="00C8510F">
        <w:rPr>
          <w:lang w:val="en-NZ"/>
        </w:rPr>
        <w:t xml:space="preserve"> says Sharleen.</w:t>
      </w:r>
    </w:p>
    <w:p w14:paraId="76E38357" w14:textId="77777777" w:rsidR="00C8510F" w:rsidRPr="00C8510F" w:rsidRDefault="00C8510F" w:rsidP="00C8510F">
      <w:pPr>
        <w:rPr>
          <w:lang w:val="en-NZ"/>
        </w:rPr>
      </w:pPr>
      <w:r w:rsidRPr="00C8510F">
        <w:rPr>
          <w:lang w:val="en-NZ"/>
        </w:rPr>
        <w:t xml:space="preserve">Debs agrees. She explains that the women have come an incredibly long way in a short time. </w:t>
      </w:r>
      <w:r w:rsidRPr="00397156">
        <w:rPr>
          <w:b/>
          <w:bCs/>
          <w:lang w:val="en-NZ"/>
        </w:rPr>
        <w:t>“They’re a lot more relaxed now, which is great. They’re starting to realise that it’s their house and they can do what they want, which is awesome.”</w:t>
      </w:r>
      <w:r w:rsidRPr="00C8510F">
        <w:rPr>
          <w:lang w:val="en-NZ"/>
        </w:rPr>
        <w:t xml:space="preserve"> She’s also noticed that they’re both increasingly good at asking for the things they need and want – a sign of increasing confidence but also trust in the team.</w:t>
      </w:r>
    </w:p>
    <w:p w14:paraId="11328E9A" w14:textId="77777777" w:rsidR="00C8510F" w:rsidRPr="00C8510F" w:rsidRDefault="00C8510F" w:rsidP="00C8510F">
      <w:pPr>
        <w:rPr>
          <w:lang w:val="en-NZ"/>
        </w:rPr>
      </w:pPr>
      <w:r w:rsidRPr="00C8510F">
        <w:rPr>
          <w:lang w:val="en-NZ"/>
        </w:rPr>
        <w:t xml:space="preserve">When asked what they like best about their new life, Mandy replies: </w:t>
      </w:r>
      <w:r w:rsidRPr="00B37ED4">
        <w:rPr>
          <w:b/>
          <w:bCs/>
          <w:lang w:val="en-NZ"/>
        </w:rPr>
        <w:t>“It feels really good. I like it a lot better here. I get treated really well – I’m happy,”</w:t>
      </w:r>
      <w:r w:rsidRPr="00C8510F">
        <w:rPr>
          <w:lang w:val="en-NZ"/>
        </w:rPr>
        <w:t xml:space="preserve"> she says. Chrissy agrees. </w:t>
      </w:r>
      <w:r w:rsidRPr="00B37ED4">
        <w:rPr>
          <w:b/>
          <w:bCs/>
          <w:lang w:val="en-NZ"/>
        </w:rPr>
        <w:t xml:space="preserve">“The team are really good. They </w:t>
      </w:r>
      <w:r w:rsidRPr="00B37ED4">
        <w:rPr>
          <w:b/>
          <w:bCs/>
          <w:lang w:val="en-NZ"/>
        </w:rPr>
        <w:lastRenderedPageBreak/>
        <w:t>help us out a lot. We have good people around us,”</w:t>
      </w:r>
      <w:r w:rsidRPr="00C8510F">
        <w:rPr>
          <w:lang w:val="en-NZ"/>
        </w:rPr>
        <w:t xml:space="preserve"> she says.</w:t>
      </w:r>
    </w:p>
    <w:p w14:paraId="5B95764C" w14:textId="77777777" w:rsidR="00C8510F" w:rsidRPr="00C8510F" w:rsidRDefault="00C8510F" w:rsidP="00C8510F">
      <w:pPr>
        <w:rPr>
          <w:lang w:val="en-NZ"/>
        </w:rPr>
      </w:pPr>
      <w:r w:rsidRPr="00C8510F">
        <w:rPr>
          <w:lang w:val="en-NZ"/>
        </w:rPr>
        <w:t>Debs feels that it’s the things that many people would take for granted that bring her the most satisfaction in her work with the women.</w:t>
      </w:r>
    </w:p>
    <w:p w14:paraId="0A8FBE2B" w14:textId="274586EE" w:rsidR="00C8510F" w:rsidRDefault="00C8510F" w:rsidP="00C8510F">
      <w:pPr>
        <w:rPr>
          <w:lang w:val="en-NZ"/>
        </w:rPr>
      </w:pPr>
      <w:r w:rsidRPr="00B37ED4">
        <w:rPr>
          <w:b/>
          <w:bCs/>
          <w:lang w:val="en-NZ"/>
        </w:rPr>
        <w:t>“It’s been such a joy to be able to support them to take control of their lives,”</w:t>
      </w:r>
      <w:r w:rsidRPr="00C8510F">
        <w:rPr>
          <w:lang w:val="en-NZ"/>
        </w:rPr>
        <w:t xml:space="preserve"> she says.</w:t>
      </w:r>
    </w:p>
    <w:p w14:paraId="31561B13" w14:textId="78FCD1E1" w:rsidR="00C8510F" w:rsidRDefault="00C8510F" w:rsidP="00C8510F">
      <w:pPr>
        <w:rPr>
          <w:lang w:val="en-NZ"/>
        </w:rPr>
      </w:pPr>
      <w:r w:rsidRPr="00C8510F">
        <w:rPr>
          <w:lang w:val="en-NZ"/>
        </w:rPr>
        <w:t>Relationships, self-determination, and fulfillment are all ingredients for a good and happy life. Now, it seems, these are all things that Mandy and Chrissy have in spades.</w:t>
      </w:r>
    </w:p>
    <w:p w14:paraId="160CAA90" w14:textId="6CCFD3FF" w:rsidR="00C8510F" w:rsidRPr="0005076C" w:rsidRDefault="00C8510F" w:rsidP="00C8510F">
      <w:pPr>
        <w:rPr>
          <w:sz w:val="40"/>
          <w:szCs w:val="40"/>
          <w:lang w:val="en-NZ"/>
        </w:rPr>
      </w:pPr>
      <w:r w:rsidRPr="0005076C">
        <w:rPr>
          <w:sz w:val="40"/>
          <w:szCs w:val="40"/>
          <w:lang w:val="en-NZ"/>
        </w:rPr>
        <w:t>“When you have had very limited choice in residential care, for example, the many decisions you can make in a day can feel overwhelming. A big part of our role is to support Chrissy and Mandy to build up their confidence as ultimately, they’re in charge.”</w:t>
      </w:r>
    </w:p>
    <w:p w14:paraId="24F55611" w14:textId="3D192685" w:rsidR="00C8510F" w:rsidRPr="00534E86" w:rsidRDefault="00C8510F" w:rsidP="00C8510F">
      <w:pPr>
        <w:rPr>
          <w:b/>
          <w:bCs/>
          <w:lang w:val="en-NZ"/>
        </w:rPr>
      </w:pPr>
      <w:r w:rsidRPr="00534E86">
        <w:rPr>
          <w:b/>
          <w:bCs/>
          <w:lang w:val="en-NZ"/>
        </w:rPr>
        <w:t>– Sharleen Fields.</w:t>
      </w:r>
    </w:p>
    <w:p w14:paraId="3FDA692F" w14:textId="1DE24F17" w:rsidR="00401E9B" w:rsidRDefault="00734AF2" w:rsidP="00DB097C">
      <w:pPr>
        <w:pStyle w:val="H2Maori"/>
      </w:pPr>
      <w:r w:rsidRPr="00C954E9">
        <w:lastRenderedPageBreak/>
        <w:t>Te maha o ngā tangata i tautokohia e mātou</w:t>
      </w:r>
    </w:p>
    <w:p w14:paraId="2C9561C3" w14:textId="25679BB0" w:rsidR="00734AF2" w:rsidRPr="00C954E9" w:rsidRDefault="00734AF2" w:rsidP="00282D18">
      <w:pPr>
        <w:pStyle w:val="Heading2"/>
        <w:rPr>
          <w:lang w:val="en-NZ"/>
        </w:rPr>
      </w:pPr>
      <w:r w:rsidRPr="00C954E9">
        <w:rPr>
          <w:lang w:val="en-NZ"/>
        </w:rPr>
        <w:t>Number of people we</w:t>
      </w:r>
      <w:r w:rsidR="00E60619">
        <w:rPr>
          <w:lang w:val="en-NZ"/>
        </w:rPr>
        <w:t xml:space="preserve"> </w:t>
      </w:r>
      <w:r w:rsidRPr="00C954E9">
        <w:rPr>
          <w:lang w:val="en-NZ"/>
        </w:rPr>
        <w:t>supported</w:t>
      </w:r>
      <w:r w:rsidR="00DB097C">
        <w:rPr>
          <w:lang w:val="en-NZ"/>
        </w:rPr>
        <w:t xml:space="preserve"> </w:t>
      </w:r>
      <w:r w:rsidRPr="00C954E9">
        <w:rPr>
          <w:lang w:val="en-NZ"/>
        </w:rPr>
        <w:t xml:space="preserve">in </w:t>
      </w:r>
      <w:r w:rsidR="00C8510F" w:rsidRPr="00C8510F">
        <w:rPr>
          <w:lang w:val="mi-NZ"/>
        </w:rPr>
        <w:t>Manawatū/Horowhenua</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BE55B9" w14:paraId="5277CA05" w14:textId="77777777" w:rsidTr="005D181E">
        <w:trPr>
          <w:cantSplit/>
          <w:tblHeader/>
        </w:trPr>
        <w:tc>
          <w:tcPr>
            <w:tcW w:w="4498" w:type="dxa"/>
            <w:shd w:val="clear" w:color="auto" w:fill="auto"/>
          </w:tcPr>
          <w:p w14:paraId="1C009C4A" w14:textId="77777777" w:rsidR="00BE55B9" w:rsidRDefault="00BE55B9" w:rsidP="005D181E">
            <w:pPr>
              <w:spacing w:before="180" w:after="180"/>
              <w:rPr>
                <w:lang w:val="en-NZ"/>
              </w:rPr>
            </w:pPr>
            <w:bookmarkStart w:id="17" w:name="ColumnTitle_1"/>
            <w:bookmarkEnd w:id="17"/>
            <w:r w:rsidRPr="001C7C39">
              <w:rPr>
                <w:b/>
                <w:bCs/>
              </w:rPr>
              <w:t>Last year</w:t>
            </w:r>
          </w:p>
        </w:tc>
        <w:tc>
          <w:tcPr>
            <w:tcW w:w="4498" w:type="dxa"/>
            <w:shd w:val="clear" w:color="auto" w:fill="auto"/>
          </w:tcPr>
          <w:p w14:paraId="5E7891A2" w14:textId="77777777" w:rsidR="00BE55B9" w:rsidRDefault="00BE55B9" w:rsidP="005D181E">
            <w:pPr>
              <w:spacing w:before="180" w:after="180"/>
              <w:rPr>
                <w:lang w:val="en-NZ"/>
              </w:rPr>
            </w:pPr>
            <w:r w:rsidRPr="001C7C39">
              <w:rPr>
                <w:b/>
                <w:bCs/>
                <w:lang w:val="en-NZ"/>
              </w:rPr>
              <w:t>This year</w:t>
            </w:r>
          </w:p>
        </w:tc>
      </w:tr>
      <w:tr w:rsidR="00BE55B9" w14:paraId="3E7E2E1F" w14:textId="77777777" w:rsidTr="005D181E">
        <w:trPr>
          <w:cantSplit/>
        </w:trPr>
        <w:tc>
          <w:tcPr>
            <w:tcW w:w="4498" w:type="dxa"/>
            <w:shd w:val="clear" w:color="auto" w:fill="auto"/>
          </w:tcPr>
          <w:p w14:paraId="588DF74F" w14:textId="3512D728" w:rsidR="00BE55B9" w:rsidRDefault="00BE55B9" w:rsidP="005D181E">
            <w:pPr>
              <w:spacing w:before="180" w:after="180"/>
              <w:rPr>
                <w:lang w:val="en-NZ"/>
              </w:rPr>
            </w:pPr>
            <w:r w:rsidRPr="00C954E9">
              <w:rPr>
                <w:lang w:val="en-NZ"/>
              </w:rPr>
              <w:t xml:space="preserve">Last year </w:t>
            </w:r>
            <w:r w:rsidRPr="00BE55B9">
              <w:rPr>
                <w:b/>
                <w:bCs/>
                <w:lang w:val="en-NZ"/>
              </w:rPr>
              <w:t>188</w:t>
            </w:r>
          </w:p>
        </w:tc>
        <w:tc>
          <w:tcPr>
            <w:tcW w:w="4498" w:type="dxa"/>
            <w:shd w:val="clear" w:color="auto" w:fill="auto"/>
          </w:tcPr>
          <w:p w14:paraId="59557534" w14:textId="7DB912DB" w:rsidR="00BE55B9" w:rsidRDefault="00BE55B9" w:rsidP="005D181E">
            <w:pPr>
              <w:spacing w:before="180" w:after="180"/>
              <w:rPr>
                <w:lang w:val="en-NZ"/>
              </w:rPr>
            </w:pPr>
            <w:r w:rsidRPr="00962011">
              <w:rPr>
                <w:lang w:val="en-NZ"/>
              </w:rPr>
              <w:t xml:space="preserve">This year </w:t>
            </w:r>
            <w:r w:rsidRPr="00BE55B9">
              <w:rPr>
                <w:b/>
                <w:bCs/>
                <w:lang w:val="en-NZ"/>
              </w:rPr>
              <w:t>276</w:t>
            </w:r>
          </w:p>
        </w:tc>
      </w:tr>
      <w:tr w:rsidR="00BE55B9" w14:paraId="6AA226F6" w14:textId="77777777" w:rsidTr="005D181E">
        <w:trPr>
          <w:cantSplit/>
        </w:trPr>
        <w:tc>
          <w:tcPr>
            <w:tcW w:w="4498" w:type="dxa"/>
            <w:shd w:val="clear" w:color="auto" w:fill="auto"/>
          </w:tcPr>
          <w:p w14:paraId="09BC3A20" w14:textId="63F1FE6F" w:rsidR="00BE55B9" w:rsidRDefault="00BE55B9" w:rsidP="006C577E">
            <w:pPr>
              <w:spacing w:before="180" w:after="180"/>
              <w:rPr>
                <w:lang w:val="en-NZ"/>
              </w:rPr>
            </w:pPr>
            <w:r w:rsidRPr="00321930">
              <w:rPr>
                <w:lang w:val="en-NZ"/>
              </w:rPr>
              <w:t xml:space="preserve">&lt;17 years of age </w:t>
            </w:r>
            <w:r w:rsidRPr="00962011">
              <w:rPr>
                <w:b/>
                <w:bCs/>
                <w:lang w:val="en-NZ"/>
              </w:rPr>
              <w:t>3</w:t>
            </w:r>
            <w:r>
              <w:rPr>
                <w:b/>
                <w:bCs/>
                <w:lang w:val="en-NZ"/>
              </w:rPr>
              <w:t>1</w:t>
            </w:r>
          </w:p>
        </w:tc>
        <w:tc>
          <w:tcPr>
            <w:tcW w:w="4498" w:type="dxa"/>
            <w:shd w:val="clear" w:color="auto" w:fill="auto"/>
          </w:tcPr>
          <w:p w14:paraId="150E8F75" w14:textId="5FC2B113" w:rsidR="00BE55B9" w:rsidRDefault="00BE55B9" w:rsidP="005D181E">
            <w:pPr>
              <w:spacing w:before="180" w:after="180"/>
              <w:rPr>
                <w:lang w:val="en-NZ"/>
              </w:rPr>
            </w:pPr>
            <w:r w:rsidRPr="00962011">
              <w:rPr>
                <w:lang w:val="en-NZ"/>
              </w:rPr>
              <w:t xml:space="preserve">&lt;17 years of age </w:t>
            </w:r>
            <w:r>
              <w:rPr>
                <w:b/>
                <w:bCs/>
                <w:lang w:val="en-NZ"/>
              </w:rPr>
              <w:t>51</w:t>
            </w:r>
          </w:p>
        </w:tc>
      </w:tr>
      <w:tr w:rsidR="00BE55B9" w14:paraId="3C07B8CF" w14:textId="77777777" w:rsidTr="005D181E">
        <w:trPr>
          <w:cantSplit/>
        </w:trPr>
        <w:tc>
          <w:tcPr>
            <w:tcW w:w="4498" w:type="dxa"/>
            <w:shd w:val="clear" w:color="auto" w:fill="auto"/>
          </w:tcPr>
          <w:p w14:paraId="69BD92B1" w14:textId="1205079D" w:rsidR="00BE55B9" w:rsidRDefault="00BE55B9" w:rsidP="005D181E">
            <w:pPr>
              <w:spacing w:before="180" w:after="180"/>
              <w:rPr>
                <w:lang w:val="en-NZ"/>
              </w:rPr>
            </w:pPr>
            <w:r w:rsidRPr="00962011">
              <w:rPr>
                <w:lang w:val="en-NZ"/>
              </w:rPr>
              <w:t xml:space="preserve">17-65 years of age: </w:t>
            </w:r>
            <w:r w:rsidRPr="00C8510F">
              <w:rPr>
                <w:b/>
                <w:bCs/>
                <w:lang w:val="en-NZ"/>
              </w:rPr>
              <w:t>151</w:t>
            </w:r>
          </w:p>
        </w:tc>
        <w:tc>
          <w:tcPr>
            <w:tcW w:w="4498" w:type="dxa"/>
            <w:shd w:val="clear" w:color="auto" w:fill="auto"/>
          </w:tcPr>
          <w:p w14:paraId="28B17CA6" w14:textId="6601D3AC" w:rsidR="00BE55B9" w:rsidRDefault="00BE55B9" w:rsidP="005D181E">
            <w:pPr>
              <w:spacing w:before="180" w:after="180"/>
              <w:rPr>
                <w:lang w:val="en-NZ"/>
              </w:rPr>
            </w:pPr>
            <w:r w:rsidRPr="00962011">
              <w:rPr>
                <w:lang w:val="en-NZ"/>
              </w:rPr>
              <w:t xml:space="preserve">17-65 years of age </w:t>
            </w:r>
            <w:r w:rsidRPr="00C8510F">
              <w:rPr>
                <w:b/>
                <w:bCs/>
                <w:lang w:val="en-NZ"/>
              </w:rPr>
              <w:t>217</w:t>
            </w:r>
          </w:p>
        </w:tc>
      </w:tr>
      <w:tr w:rsidR="00BE55B9" w14:paraId="56903E3B" w14:textId="77777777" w:rsidTr="005D181E">
        <w:trPr>
          <w:cantSplit/>
        </w:trPr>
        <w:tc>
          <w:tcPr>
            <w:tcW w:w="4498" w:type="dxa"/>
            <w:shd w:val="clear" w:color="auto" w:fill="auto"/>
          </w:tcPr>
          <w:p w14:paraId="0F49A223" w14:textId="0296329F" w:rsidR="00BE55B9" w:rsidRDefault="00BE55B9" w:rsidP="005D181E">
            <w:pPr>
              <w:spacing w:before="180" w:after="180"/>
              <w:rPr>
                <w:lang w:val="en-NZ"/>
              </w:rPr>
            </w:pPr>
            <w:r w:rsidRPr="00962011">
              <w:rPr>
                <w:lang w:val="mi-NZ"/>
              </w:rPr>
              <w:t>Māori:</w:t>
            </w:r>
            <w:r w:rsidRPr="00962011">
              <w:rPr>
                <w:lang w:val="en-NZ"/>
              </w:rPr>
              <w:t xml:space="preserve"> </w:t>
            </w:r>
            <w:r>
              <w:rPr>
                <w:b/>
                <w:bCs/>
                <w:lang w:val="en-NZ"/>
              </w:rPr>
              <w:t>45</w:t>
            </w:r>
          </w:p>
        </w:tc>
        <w:tc>
          <w:tcPr>
            <w:tcW w:w="4498" w:type="dxa"/>
            <w:shd w:val="clear" w:color="auto" w:fill="auto"/>
          </w:tcPr>
          <w:p w14:paraId="16DDD064" w14:textId="3E831357" w:rsidR="00BE55B9" w:rsidRDefault="00BE55B9" w:rsidP="005D181E">
            <w:pPr>
              <w:spacing w:before="180" w:after="180"/>
              <w:rPr>
                <w:lang w:val="en-NZ"/>
              </w:rPr>
            </w:pPr>
            <w:r w:rsidRPr="00962011">
              <w:rPr>
                <w:lang w:val="mi-NZ"/>
              </w:rPr>
              <w:t>Māori</w:t>
            </w:r>
            <w:r w:rsidRPr="00962011">
              <w:rPr>
                <w:lang w:val="en-NZ"/>
              </w:rPr>
              <w:t xml:space="preserve"> </w:t>
            </w:r>
            <w:r>
              <w:rPr>
                <w:b/>
                <w:bCs/>
                <w:lang w:val="en-NZ"/>
              </w:rPr>
              <w:t>56</w:t>
            </w:r>
          </w:p>
        </w:tc>
      </w:tr>
      <w:tr w:rsidR="00BE55B9" w14:paraId="325ED65E" w14:textId="77777777" w:rsidTr="005D181E">
        <w:trPr>
          <w:cantSplit/>
        </w:trPr>
        <w:tc>
          <w:tcPr>
            <w:tcW w:w="4498" w:type="dxa"/>
            <w:shd w:val="clear" w:color="auto" w:fill="auto"/>
          </w:tcPr>
          <w:p w14:paraId="76B03638" w14:textId="74FED608" w:rsidR="00BE55B9" w:rsidRPr="00962011" w:rsidRDefault="00BE55B9" w:rsidP="005D181E">
            <w:pPr>
              <w:spacing w:before="180" w:after="180"/>
              <w:rPr>
                <w:lang w:val="mi-NZ"/>
              </w:rPr>
            </w:pPr>
            <w:r w:rsidRPr="00962011">
              <w:rPr>
                <w:lang w:val="mi-NZ"/>
              </w:rPr>
              <w:t>Pasifika:</w:t>
            </w:r>
            <w:r w:rsidRPr="00962011">
              <w:rPr>
                <w:lang w:val="en-NZ"/>
              </w:rPr>
              <w:t xml:space="preserve"> </w:t>
            </w:r>
            <w:r w:rsidRPr="00C8510F">
              <w:rPr>
                <w:b/>
                <w:bCs/>
                <w:lang w:val="en-NZ"/>
              </w:rPr>
              <w:t>3</w:t>
            </w:r>
          </w:p>
        </w:tc>
        <w:tc>
          <w:tcPr>
            <w:tcW w:w="4498" w:type="dxa"/>
            <w:shd w:val="clear" w:color="auto" w:fill="auto"/>
          </w:tcPr>
          <w:p w14:paraId="611D0BE9" w14:textId="12174727" w:rsidR="00BE55B9" w:rsidRDefault="00BE55B9" w:rsidP="005D181E">
            <w:pPr>
              <w:spacing w:before="180" w:after="180"/>
              <w:rPr>
                <w:lang w:val="en-NZ"/>
              </w:rPr>
            </w:pPr>
            <w:r w:rsidRPr="00962011">
              <w:rPr>
                <w:lang w:val="mi-NZ"/>
              </w:rPr>
              <w:t>Pasifika</w:t>
            </w:r>
            <w:r w:rsidRPr="00962011">
              <w:rPr>
                <w:lang w:val="en-NZ"/>
              </w:rPr>
              <w:t xml:space="preserve"> </w:t>
            </w:r>
            <w:r w:rsidRPr="00C8510F">
              <w:rPr>
                <w:b/>
                <w:bCs/>
                <w:lang w:val="en-NZ"/>
              </w:rPr>
              <w:t>6</w:t>
            </w:r>
          </w:p>
        </w:tc>
      </w:tr>
    </w:tbl>
    <w:p w14:paraId="20CB7254" w14:textId="77777777" w:rsidR="00401E9B" w:rsidRDefault="00734AF2" w:rsidP="00514BC5">
      <w:pPr>
        <w:pStyle w:val="H2Maori"/>
      </w:pPr>
      <w:r w:rsidRPr="00962011">
        <w:lastRenderedPageBreak/>
        <w:t>Mahi kirimana</w:t>
      </w:r>
    </w:p>
    <w:p w14:paraId="72565257" w14:textId="10F18421" w:rsidR="00734AF2" w:rsidRDefault="00734AF2" w:rsidP="009059DB">
      <w:pPr>
        <w:pStyle w:val="Heading2"/>
        <w:rPr>
          <w:lang w:val="en-NZ"/>
        </w:rPr>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514BC5" w:rsidRPr="001C7C39" w14:paraId="0C0A6A02" w14:textId="77777777" w:rsidTr="005D181E">
        <w:trPr>
          <w:cantSplit/>
          <w:tblHeader/>
        </w:trPr>
        <w:tc>
          <w:tcPr>
            <w:tcW w:w="4498" w:type="dxa"/>
            <w:shd w:val="clear" w:color="auto" w:fill="auto"/>
          </w:tcPr>
          <w:p w14:paraId="269BC198" w14:textId="77777777" w:rsidR="00514BC5" w:rsidRPr="001C7C39" w:rsidRDefault="00514BC5" w:rsidP="005D181E">
            <w:pPr>
              <w:spacing w:before="180" w:after="180"/>
              <w:contextualSpacing/>
              <w:rPr>
                <w:b/>
                <w:bCs/>
                <w:lang w:val="en-NZ"/>
              </w:rPr>
            </w:pPr>
            <w:bookmarkStart w:id="18" w:name="ColumnTitle_2"/>
            <w:bookmarkEnd w:id="18"/>
            <w:r w:rsidRPr="001C7C39">
              <w:rPr>
                <w:b/>
                <w:bCs/>
                <w:lang w:val="en-NZ"/>
              </w:rPr>
              <w:t>Hours last year</w:t>
            </w:r>
          </w:p>
        </w:tc>
        <w:tc>
          <w:tcPr>
            <w:tcW w:w="4498" w:type="dxa"/>
            <w:shd w:val="clear" w:color="auto" w:fill="auto"/>
          </w:tcPr>
          <w:p w14:paraId="405EB31E" w14:textId="77777777" w:rsidR="00514BC5" w:rsidRPr="001C7C39" w:rsidRDefault="00514BC5" w:rsidP="005D181E">
            <w:pPr>
              <w:pStyle w:val="Heading3"/>
              <w:spacing w:before="180" w:after="180"/>
              <w:contextualSpacing/>
              <w:rPr>
                <w:b w:val="0"/>
                <w:bCs w:val="0"/>
                <w:lang w:val="en-NZ"/>
              </w:rPr>
            </w:pPr>
            <w:r w:rsidRPr="00B132FD">
              <w:rPr>
                <w:lang w:val="en-NZ"/>
              </w:rPr>
              <w:t>Hours this year</w:t>
            </w:r>
          </w:p>
        </w:tc>
      </w:tr>
      <w:tr w:rsidR="00514BC5" w14:paraId="35CAAE12" w14:textId="77777777" w:rsidTr="005D181E">
        <w:trPr>
          <w:cantSplit/>
        </w:trPr>
        <w:tc>
          <w:tcPr>
            <w:tcW w:w="4498" w:type="dxa"/>
            <w:shd w:val="clear" w:color="auto" w:fill="auto"/>
          </w:tcPr>
          <w:p w14:paraId="0691759E" w14:textId="7033DC7D" w:rsidR="00514BC5" w:rsidRDefault="00137B89" w:rsidP="005D181E">
            <w:pPr>
              <w:spacing w:before="180" w:after="180"/>
              <w:rPr>
                <w:lang w:val="en-NZ"/>
              </w:rPr>
            </w:pPr>
            <w:r>
              <w:rPr>
                <w:b/>
                <w:bCs/>
                <w:lang w:val="en-NZ"/>
              </w:rPr>
              <w:t>5</w:t>
            </w:r>
            <w:r w:rsidRPr="00962011">
              <w:rPr>
                <w:b/>
                <w:bCs/>
                <w:lang w:val="en-NZ"/>
              </w:rPr>
              <w:t>,</w:t>
            </w:r>
            <w:r>
              <w:rPr>
                <w:b/>
                <w:bCs/>
                <w:lang w:val="en-NZ"/>
              </w:rPr>
              <w:t>399</w:t>
            </w:r>
            <w:r w:rsidR="00514BC5" w:rsidRPr="00ED6A5B">
              <w:rPr>
                <w:lang w:val="en-NZ"/>
              </w:rPr>
              <w:t xml:space="preserve"> </w:t>
            </w:r>
            <w:r w:rsidR="00514BC5" w:rsidRPr="00ED6A5B">
              <w:rPr>
                <w:lang w:val="mi-NZ"/>
              </w:rPr>
              <w:t>Whaikaha</w:t>
            </w:r>
            <w:r w:rsidR="00514BC5" w:rsidRPr="00ED6A5B">
              <w:rPr>
                <w:lang w:val="en-NZ"/>
              </w:rPr>
              <w:t xml:space="preserve"> - Ministry of Disabled People</w:t>
            </w:r>
          </w:p>
        </w:tc>
        <w:tc>
          <w:tcPr>
            <w:tcW w:w="4498" w:type="dxa"/>
            <w:shd w:val="clear" w:color="auto" w:fill="auto"/>
          </w:tcPr>
          <w:p w14:paraId="1559EC4B" w14:textId="697A40EF" w:rsidR="00514BC5" w:rsidRDefault="00137B89" w:rsidP="005D181E">
            <w:pPr>
              <w:spacing w:before="180" w:after="180"/>
              <w:rPr>
                <w:lang w:val="en-NZ"/>
              </w:rPr>
            </w:pPr>
            <w:r>
              <w:rPr>
                <w:b/>
                <w:bCs/>
                <w:lang w:val="en-NZ"/>
              </w:rPr>
              <w:t>6</w:t>
            </w:r>
            <w:r w:rsidRPr="00962011">
              <w:rPr>
                <w:b/>
                <w:bCs/>
                <w:lang w:val="en-NZ"/>
              </w:rPr>
              <w:t>,</w:t>
            </w:r>
            <w:r>
              <w:rPr>
                <w:b/>
                <w:bCs/>
                <w:lang w:val="en-NZ"/>
              </w:rPr>
              <w:t>149</w:t>
            </w:r>
            <w:r w:rsidRPr="00137B89">
              <w:rPr>
                <w:lang w:val="en-NZ"/>
              </w:rPr>
              <w:t xml:space="preserve"> </w:t>
            </w:r>
            <w:r w:rsidR="00514BC5" w:rsidRPr="00B954FA">
              <w:rPr>
                <w:lang w:val="mi-NZ"/>
              </w:rPr>
              <w:t>Whaikaha</w:t>
            </w:r>
            <w:r w:rsidR="00514BC5" w:rsidRPr="00B954FA">
              <w:rPr>
                <w:lang w:val="en-NZ"/>
              </w:rPr>
              <w:t xml:space="preserve"> - Ministry of Disabled People</w:t>
            </w:r>
          </w:p>
        </w:tc>
      </w:tr>
      <w:tr w:rsidR="00514BC5" w14:paraId="7DEBC6DC" w14:textId="77777777" w:rsidTr="005D181E">
        <w:trPr>
          <w:cantSplit/>
        </w:trPr>
        <w:tc>
          <w:tcPr>
            <w:tcW w:w="4498" w:type="dxa"/>
            <w:shd w:val="clear" w:color="auto" w:fill="auto"/>
          </w:tcPr>
          <w:p w14:paraId="3B84C48D" w14:textId="6AE4066E" w:rsidR="00514BC5" w:rsidRDefault="00137B89" w:rsidP="005D181E">
            <w:pPr>
              <w:spacing w:before="180" w:after="180"/>
              <w:rPr>
                <w:lang w:val="en-NZ"/>
              </w:rPr>
            </w:pPr>
            <w:r>
              <w:rPr>
                <w:b/>
                <w:bCs/>
                <w:lang w:val="en-NZ"/>
              </w:rPr>
              <w:t>2</w:t>
            </w:r>
            <w:r w:rsidRPr="00962011">
              <w:rPr>
                <w:b/>
                <w:bCs/>
                <w:lang w:val="en-NZ"/>
              </w:rPr>
              <w:t>,</w:t>
            </w:r>
            <w:r>
              <w:rPr>
                <w:b/>
                <w:bCs/>
                <w:lang w:val="en-NZ"/>
              </w:rPr>
              <w:t>155</w:t>
            </w:r>
            <w:r w:rsidR="00514BC5" w:rsidRPr="00ED6A5B">
              <w:rPr>
                <w:lang w:val="en-NZ"/>
              </w:rPr>
              <w:t xml:space="preserve"> Ministry of Social Development</w:t>
            </w:r>
          </w:p>
        </w:tc>
        <w:tc>
          <w:tcPr>
            <w:tcW w:w="4498" w:type="dxa"/>
            <w:shd w:val="clear" w:color="auto" w:fill="auto"/>
          </w:tcPr>
          <w:p w14:paraId="6F753128" w14:textId="32E60A7A" w:rsidR="00514BC5" w:rsidRDefault="00137B89" w:rsidP="005D181E">
            <w:pPr>
              <w:spacing w:before="180" w:after="180"/>
              <w:rPr>
                <w:lang w:val="en-NZ"/>
              </w:rPr>
            </w:pPr>
            <w:r>
              <w:rPr>
                <w:b/>
                <w:bCs/>
                <w:lang w:val="en-NZ"/>
              </w:rPr>
              <w:t>2</w:t>
            </w:r>
            <w:r w:rsidRPr="00962011">
              <w:rPr>
                <w:b/>
                <w:bCs/>
                <w:lang w:val="en-NZ"/>
              </w:rPr>
              <w:t>,</w:t>
            </w:r>
            <w:r>
              <w:rPr>
                <w:b/>
                <w:bCs/>
                <w:lang w:val="en-NZ"/>
              </w:rPr>
              <w:t>039</w:t>
            </w:r>
            <w:r w:rsidR="00514BC5" w:rsidRPr="009443C2">
              <w:rPr>
                <w:lang w:val="en-NZ"/>
              </w:rPr>
              <w:t xml:space="preserve"> </w:t>
            </w:r>
            <w:r w:rsidR="00514BC5" w:rsidRPr="00B954FA">
              <w:rPr>
                <w:lang w:val="en-NZ"/>
              </w:rPr>
              <w:t>Ministry of Social Development</w:t>
            </w:r>
          </w:p>
        </w:tc>
      </w:tr>
      <w:tr w:rsidR="00514BC5" w14:paraId="45166CBF" w14:textId="77777777" w:rsidTr="005D181E">
        <w:trPr>
          <w:cantSplit/>
        </w:trPr>
        <w:tc>
          <w:tcPr>
            <w:tcW w:w="4498" w:type="dxa"/>
            <w:shd w:val="clear" w:color="auto" w:fill="auto"/>
          </w:tcPr>
          <w:p w14:paraId="5938E586" w14:textId="7BA34C5F" w:rsidR="00514BC5" w:rsidRDefault="00137B89" w:rsidP="005D181E">
            <w:pPr>
              <w:spacing w:before="180" w:after="180"/>
              <w:rPr>
                <w:lang w:val="en-NZ"/>
              </w:rPr>
            </w:pPr>
            <w:r>
              <w:rPr>
                <w:b/>
                <w:bCs/>
                <w:lang w:val="en-NZ"/>
              </w:rPr>
              <w:t>9</w:t>
            </w:r>
            <w:r w:rsidRPr="00962011">
              <w:rPr>
                <w:b/>
                <w:bCs/>
                <w:lang w:val="en-NZ"/>
              </w:rPr>
              <w:t>,5</w:t>
            </w:r>
            <w:r>
              <w:rPr>
                <w:b/>
                <w:bCs/>
                <w:lang w:val="en-NZ"/>
              </w:rPr>
              <w:t>94</w:t>
            </w:r>
            <w:r w:rsidR="00514BC5" w:rsidRPr="00ED6A5B">
              <w:rPr>
                <w:lang w:val="en-NZ"/>
              </w:rPr>
              <w:t xml:space="preserve"> </w:t>
            </w:r>
            <w:r w:rsidR="00514BC5" w:rsidRPr="00ED6A5B">
              <w:rPr>
                <w:lang w:val="mi-NZ"/>
              </w:rPr>
              <w:t>Oranga Tamariki</w:t>
            </w:r>
          </w:p>
        </w:tc>
        <w:tc>
          <w:tcPr>
            <w:tcW w:w="4498" w:type="dxa"/>
            <w:shd w:val="clear" w:color="auto" w:fill="auto"/>
          </w:tcPr>
          <w:p w14:paraId="76CA2C67" w14:textId="2D97E30B" w:rsidR="00514BC5" w:rsidRDefault="00137B89" w:rsidP="005D181E">
            <w:pPr>
              <w:spacing w:before="180" w:after="180"/>
              <w:rPr>
                <w:lang w:val="en-NZ"/>
              </w:rPr>
            </w:pPr>
            <w:r>
              <w:rPr>
                <w:b/>
                <w:bCs/>
                <w:lang w:val="en-NZ"/>
              </w:rPr>
              <w:t>5</w:t>
            </w:r>
            <w:r w:rsidRPr="00962011">
              <w:rPr>
                <w:b/>
                <w:bCs/>
                <w:lang w:val="en-NZ"/>
              </w:rPr>
              <w:t>,</w:t>
            </w:r>
            <w:r>
              <w:rPr>
                <w:b/>
                <w:bCs/>
                <w:lang w:val="en-NZ"/>
              </w:rPr>
              <w:t>443</w:t>
            </w:r>
            <w:r w:rsidR="00514BC5" w:rsidRPr="009443C2">
              <w:rPr>
                <w:lang w:val="en-NZ"/>
              </w:rPr>
              <w:t xml:space="preserve"> </w:t>
            </w:r>
            <w:r w:rsidR="00514BC5" w:rsidRPr="00B954FA">
              <w:rPr>
                <w:lang w:val="mi-NZ"/>
              </w:rPr>
              <w:t>Oranga Tamariki</w:t>
            </w:r>
          </w:p>
        </w:tc>
      </w:tr>
      <w:tr w:rsidR="00514BC5" w14:paraId="69C41487" w14:textId="77777777" w:rsidTr="005D181E">
        <w:trPr>
          <w:cantSplit/>
        </w:trPr>
        <w:tc>
          <w:tcPr>
            <w:tcW w:w="4498" w:type="dxa"/>
            <w:shd w:val="clear" w:color="auto" w:fill="auto"/>
          </w:tcPr>
          <w:p w14:paraId="0856A2A6" w14:textId="2C6F1833" w:rsidR="00514BC5" w:rsidRDefault="00137B89" w:rsidP="005D181E">
            <w:pPr>
              <w:spacing w:before="180" w:after="180"/>
              <w:rPr>
                <w:lang w:val="en-NZ"/>
              </w:rPr>
            </w:pPr>
            <w:r>
              <w:rPr>
                <w:b/>
                <w:bCs/>
                <w:lang w:val="en-NZ"/>
              </w:rPr>
              <w:t>882</w:t>
            </w:r>
            <w:r w:rsidR="00514BC5" w:rsidRPr="00ED6A5B">
              <w:rPr>
                <w:lang w:val="en-NZ"/>
              </w:rPr>
              <w:t xml:space="preserve"> Ministry of Education</w:t>
            </w:r>
          </w:p>
        </w:tc>
        <w:tc>
          <w:tcPr>
            <w:tcW w:w="4498" w:type="dxa"/>
            <w:shd w:val="clear" w:color="auto" w:fill="auto"/>
          </w:tcPr>
          <w:p w14:paraId="7EAA63D0" w14:textId="668519C8" w:rsidR="00514BC5" w:rsidRDefault="00137B89" w:rsidP="005D181E">
            <w:pPr>
              <w:spacing w:before="180" w:after="180"/>
              <w:rPr>
                <w:lang w:val="en-NZ"/>
              </w:rPr>
            </w:pPr>
            <w:r>
              <w:rPr>
                <w:b/>
                <w:bCs/>
                <w:lang w:val="en-NZ"/>
              </w:rPr>
              <w:t>2</w:t>
            </w:r>
            <w:r w:rsidRPr="00962011">
              <w:rPr>
                <w:b/>
                <w:bCs/>
                <w:lang w:val="en-NZ"/>
              </w:rPr>
              <w:t>,</w:t>
            </w:r>
            <w:r>
              <w:rPr>
                <w:b/>
                <w:bCs/>
                <w:lang w:val="en-NZ"/>
              </w:rPr>
              <w:t>745</w:t>
            </w:r>
            <w:r w:rsidR="00514BC5" w:rsidRPr="009443C2">
              <w:rPr>
                <w:lang w:val="en-NZ"/>
              </w:rPr>
              <w:t xml:space="preserve"> </w:t>
            </w:r>
            <w:r w:rsidR="00514BC5" w:rsidRPr="00B954FA">
              <w:rPr>
                <w:lang w:val="en-NZ"/>
              </w:rPr>
              <w:t>Ministry of Education</w:t>
            </w:r>
          </w:p>
        </w:tc>
      </w:tr>
      <w:tr w:rsidR="00514BC5" w14:paraId="7559ECCA" w14:textId="77777777" w:rsidTr="005D181E">
        <w:trPr>
          <w:cantSplit/>
        </w:trPr>
        <w:tc>
          <w:tcPr>
            <w:tcW w:w="4498" w:type="dxa"/>
            <w:shd w:val="clear" w:color="auto" w:fill="auto"/>
          </w:tcPr>
          <w:p w14:paraId="22546386" w14:textId="52F78A37" w:rsidR="00514BC5" w:rsidRDefault="00137B89" w:rsidP="005D181E">
            <w:pPr>
              <w:spacing w:before="180" w:after="180"/>
              <w:rPr>
                <w:lang w:val="en-NZ"/>
              </w:rPr>
            </w:pPr>
            <w:r>
              <w:rPr>
                <w:b/>
                <w:bCs/>
                <w:lang w:val="en-NZ"/>
              </w:rPr>
              <w:t>1,026</w:t>
            </w:r>
            <w:r w:rsidR="00514BC5" w:rsidRPr="00ED6A5B">
              <w:rPr>
                <w:lang w:val="en-NZ"/>
              </w:rPr>
              <w:t xml:space="preserve"> ACC</w:t>
            </w:r>
          </w:p>
        </w:tc>
        <w:tc>
          <w:tcPr>
            <w:tcW w:w="4498" w:type="dxa"/>
            <w:shd w:val="clear" w:color="auto" w:fill="auto"/>
          </w:tcPr>
          <w:p w14:paraId="1A7AD569" w14:textId="18F4CF1A" w:rsidR="00514BC5" w:rsidRDefault="00137B89" w:rsidP="005D181E">
            <w:pPr>
              <w:spacing w:before="180" w:after="180"/>
              <w:rPr>
                <w:lang w:val="en-NZ"/>
              </w:rPr>
            </w:pPr>
            <w:r>
              <w:rPr>
                <w:b/>
                <w:bCs/>
                <w:lang w:val="en-NZ"/>
              </w:rPr>
              <w:t>1</w:t>
            </w:r>
            <w:r w:rsidRPr="00962011">
              <w:rPr>
                <w:b/>
                <w:bCs/>
                <w:lang w:val="en-NZ"/>
              </w:rPr>
              <w:t>,</w:t>
            </w:r>
            <w:r>
              <w:rPr>
                <w:b/>
                <w:bCs/>
                <w:lang w:val="en-NZ"/>
              </w:rPr>
              <w:t>448</w:t>
            </w:r>
            <w:r w:rsidRPr="00137B89">
              <w:rPr>
                <w:lang w:val="en-NZ"/>
              </w:rPr>
              <w:t xml:space="preserve"> </w:t>
            </w:r>
            <w:r w:rsidR="00514BC5" w:rsidRPr="00B954FA">
              <w:rPr>
                <w:lang w:val="en-NZ"/>
              </w:rPr>
              <w:t>ACC</w:t>
            </w:r>
          </w:p>
        </w:tc>
      </w:tr>
      <w:tr w:rsidR="00514BC5" w:rsidRPr="00317365" w14:paraId="0B1312B1" w14:textId="77777777" w:rsidTr="005D181E">
        <w:trPr>
          <w:cantSplit/>
        </w:trPr>
        <w:tc>
          <w:tcPr>
            <w:tcW w:w="4498" w:type="dxa"/>
            <w:shd w:val="clear" w:color="auto" w:fill="auto"/>
          </w:tcPr>
          <w:p w14:paraId="15DE04CF" w14:textId="4B9D1695" w:rsidR="00514BC5" w:rsidRPr="0080433F" w:rsidRDefault="00137B89" w:rsidP="005D181E">
            <w:pPr>
              <w:spacing w:before="180" w:after="180"/>
              <w:rPr>
                <w:lang w:val="en-NZ"/>
              </w:rPr>
            </w:pPr>
            <w:r w:rsidRPr="00962011">
              <w:rPr>
                <w:b/>
                <w:bCs/>
                <w:lang w:val="en-NZ"/>
              </w:rPr>
              <w:t>1</w:t>
            </w:r>
            <w:r>
              <w:rPr>
                <w:b/>
                <w:bCs/>
                <w:lang w:val="en-NZ"/>
              </w:rPr>
              <w:t>3</w:t>
            </w:r>
            <w:r w:rsidRPr="00962011">
              <w:rPr>
                <w:b/>
                <w:bCs/>
                <w:lang w:val="en-NZ"/>
              </w:rPr>
              <w:t>,</w:t>
            </w:r>
            <w:r>
              <w:rPr>
                <w:b/>
                <w:bCs/>
                <w:lang w:val="en-NZ"/>
              </w:rPr>
              <w:t>425</w:t>
            </w:r>
            <w:r w:rsidR="00514BC5" w:rsidRPr="00ED6A5B">
              <w:rPr>
                <w:lang w:val="en-NZ"/>
              </w:rPr>
              <w:t xml:space="preserve"> Other (Individuals or non-Ministry)</w:t>
            </w:r>
          </w:p>
        </w:tc>
        <w:tc>
          <w:tcPr>
            <w:tcW w:w="4498" w:type="dxa"/>
            <w:shd w:val="clear" w:color="auto" w:fill="auto"/>
          </w:tcPr>
          <w:p w14:paraId="016B43C2" w14:textId="57DB33E9" w:rsidR="00514BC5" w:rsidRPr="00317365" w:rsidRDefault="00137B89" w:rsidP="005D181E">
            <w:pPr>
              <w:spacing w:before="180" w:after="180"/>
              <w:rPr>
                <w:lang w:val="en-NZ"/>
              </w:rPr>
            </w:pPr>
            <w:r>
              <w:rPr>
                <w:b/>
                <w:bCs/>
                <w:lang w:val="en-NZ"/>
              </w:rPr>
              <w:t>25,406</w:t>
            </w:r>
            <w:r w:rsidR="00514BC5" w:rsidRPr="000A6B1A">
              <w:rPr>
                <w:lang w:val="en-NZ"/>
              </w:rPr>
              <w:t xml:space="preserve"> </w:t>
            </w:r>
            <w:r w:rsidR="00514BC5" w:rsidRPr="00B954FA">
              <w:rPr>
                <w:lang w:val="en-NZ"/>
              </w:rPr>
              <w:t>Other (Individuals or non-Ministry)</w:t>
            </w:r>
          </w:p>
        </w:tc>
      </w:tr>
    </w:tbl>
    <w:p w14:paraId="79B045DA" w14:textId="77777777" w:rsidR="00401E9B" w:rsidRDefault="00734AF2" w:rsidP="00717DD4">
      <w:pPr>
        <w:pStyle w:val="H2Maori"/>
      </w:pPr>
      <w:r w:rsidRPr="00962011">
        <w:lastRenderedPageBreak/>
        <w:t xml:space="preserve">Te poipoi i te tapatahinga </w:t>
      </w:r>
      <w:r w:rsidR="00A9545D">
        <w:t xml:space="preserve">o </w:t>
      </w:r>
      <w:r w:rsidRPr="00962011">
        <w:t>ngā hapori</w:t>
      </w:r>
    </w:p>
    <w:p w14:paraId="251410C4" w14:textId="7A74B880"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603AC" w:rsidRPr="001C7C39" w14:paraId="3F38A23E" w14:textId="77777777" w:rsidTr="005D181E">
        <w:trPr>
          <w:cantSplit/>
          <w:tblHeader/>
        </w:trPr>
        <w:tc>
          <w:tcPr>
            <w:tcW w:w="4498" w:type="dxa"/>
            <w:shd w:val="clear" w:color="auto" w:fill="auto"/>
          </w:tcPr>
          <w:p w14:paraId="09E18957" w14:textId="77777777" w:rsidR="003603AC" w:rsidRPr="001C7C39" w:rsidRDefault="003603AC" w:rsidP="005D181E">
            <w:pPr>
              <w:spacing w:before="180" w:after="180"/>
              <w:contextualSpacing/>
              <w:rPr>
                <w:b/>
                <w:bCs/>
                <w:lang w:val="en-NZ"/>
              </w:rPr>
            </w:pPr>
            <w:bookmarkStart w:id="19" w:name="ColumnTitle_3"/>
            <w:bookmarkEnd w:id="19"/>
            <w:r>
              <w:rPr>
                <w:b/>
                <w:bCs/>
                <w:lang w:val="en-NZ"/>
              </w:rPr>
              <w:t>L</w:t>
            </w:r>
            <w:r w:rsidRPr="001C7C39">
              <w:rPr>
                <w:b/>
                <w:bCs/>
                <w:lang w:val="en-NZ"/>
              </w:rPr>
              <w:t>ast year</w:t>
            </w:r>
          </w:p>
        </w:tc>
        <w:tc>
          <w:tcPr>
            <w:tcW w:w="4498" w:type="dxa"/>
            <w:shd w:val="clear" w:color="auto" w:fill="auto"/>
          </w:tcPr>
          <w:p w14:paraId="2C5E7844" w14:textId="77777777" w:rsidR="003603AC" w:rsidRPr="001C7C39" w:rsidRDefault="003603AC" w:rsidP="005D181E">
            <w:pPr>
              <w:pStyle w:val="Heading3"/>
              <w:spacing w:before="180" w:after="180"/>
              <w:contextualSpacing/>
              <w:rPr>
                <w:b w:val="0"/>
                <w:bCs w:val="0"/>
                <w:lang w:val="en-NZ"/>
              </w:rPr>
            </w:pPr>
            <w:r>
              <w:rPr>
                <w:lang w:val="en-NZ"/>
              </w:rPr>
              <w:t>T</w:t>
            </w:r>
            <w:r w:rsidRPr="00B132FD">
              <w:rPr>
                <w:lang w:val="en-NZ"/>
              </w:rPr>
              <w:t>his year</w:t>
            </w:r>
          </w:p>
        </w:tc>
      </w:tr>
      <w:tr w:rsidR="003603AC" w14:paraId="40A4BF94" w14:textId="77777777" w:rsidTr="005D181E">
        <w:trPr>
          <w:cantSplit/>
        </w:trPr>
        <w:tc>
          <w:tcPr>
            <w:tcW w:w="4498" w:type="dxa"/>
            <w:shd w:val="clear" w:color="auto" w:fill="auto"/>
          </w:tcPr>
          <w:p w14:paraId="7AB500AF" w14:textId="6D5709AD" w:rsidR="003603AC" w:rsidRDefault="003603AC" w:rsidP="005D181E">
            <w:pPr>
              <w:spacing w:before="180" w:after="180"/>
              <w:rPr>
                <w:lang w:val="en-NZ"/>
              </w:rPr>
            </w:pPr>
            <w:r>
              <w:rPr>
                <w:b/>
                <w:bCs/>
                <w:lang w:val="en-NZ"/>
              </w:rPr>
              <w:t xml:space="preserve">137 </w:t>
            </w:r>
            <w:r w:rsidRPr="00962011">
              <w:rPr>
                <w:lang w:val="en-NZ"/>
              </w:rPr>
              <w:t>total number of branch members</w:t>
            </w:r>
          </w:p>
        </w:tc>
        <w:tc>
          <w:tcPr>
            <w:tcW w:w="4498" w:type="dxa"/>
            <w:shd w:val="clear" w:color="auto" w:fill="auto"/>
          </w:tcPr>
          <w:p w14:paraId="0CE82374" w14:textId="36DECA3D" w:rsidR="003603AC" w:rsidRDefault="003603AC" w:rsidP="005D181E">
            <w:pPr>
              <w:spacing w:before="180" w:after="180"/>
              <w:rPr>
                <w:lang w:val="en-NZ"/>
              </w:rPr>
            </w:pPr>
            <w:r>
              <w:rPr>
                <w:b/>
                <w:bCs/>
                <w:lang w:val="en-NZ"/>
              </w:rPr>
              <w:t>185</w:t>
            </w:r>
            <w:r w:rsidRPr="00962011">
              <w:rPr>
                <w:lang w:val="en-NZ"/>
              </w:rPr>
              <w:t xml:space="preserve"> total number of branch members</w:t>
            </w:r>
          </w:p>
        </w:tc>
      </w:tr>
      <w:tr w:rsidR="003603AC" w14:paraId="299C2768" w14:textId="77777777" w:rsidTr="005D181E">
        <w:trPr>
          <w:cantSplit/>
        </w:trPr>
        <w:tc>
          <w:tcPr>
            <w:tcW w:w="4498" w:type="dxa"/>
            <w:shd w:val="clear" w:color="auto" w:fill="auto"/>
          </w:tcPr>
          <w:p w14:paraId="0B567194" w14:textId="519161E7" w:rsidR="003603AC" w:rsidRDefault="003603AC" w:rsidP="005D181E">
            <w:pPr>
              <w:spacing w:before="180" w:after="180"/>
              <w:rPr>
                <w:lang w:val="en-NZ"/>
              </w:rPr>
            </w:pPr>
            <w:r w:rsidRPr="00962011">
              <w:rPr>
                <w:b/>
                <w:bCs/>
                <w:lang w:val="en-NZ"/>
              </w:rPr>
              <w:t>1,</w:t>
            </w:r>
            <w:r>
              <w:rPr>
                <w:b/>
                <w:bCs/>
                <w:lang w:val="en-NZ"/>
              </w:rPr>
              <w:t>438</w:t>
            </w:r>
            <w:r w:rsidRPr="00962011">
              <w:rPr>
                <w:lang w:val="en-NZ"/>
              </w:rPr>
              <w:t xml:space="preserve"> Mobility Parking permits issued</w:t>
            </w:r>
          </w:p>
        </w:tc>
        <w:tc>
          <w:tcPr>
            <w:tcW w:w="4498" w:type="dxa"/>
            <w:shd w:val="clear" w:color="auto" w:fill="auto"/>
          </w:tcPr>
          <w:p w14:paraId="0E4FE1F5" w14:textId="5F317A60" w:rsidR="003603AC" w:rsidRDefault="003603AC" w:rsidP="005D181E">
            <w:pPr>
              <w:spacing w:before="180" w:after="180"/>
              <w:rPr>
                <w:lang w:val="en-NZ"/>
              </w:rPr>
            </w:pPr>
            <w:r w:rsidRPr="00962011">
              <w:rPr>
                <w:b/>
                <w:bCs/>
                <w:lang w:val="en-NZ"/>
              </w:rPr>
              <w:t>1,</w:t>
            </w:r>
            <w:r>
              <w:rPr>
                <w:b/>
                <w:bCs/>
                <w:lang w:val="en-NZ"/>
              </w:rPr>
              <w:t>869</w:t>
            </w:r>
            <w:r w:rsidRPr="00962011">
              <w:rPr>
                <w:b/>
                <w:bCs/>
                <w:lang w:val="en-NZ"/>
              </w:rPr>
              <w:t>:</w:t>
            </w:r>
            <w:r w:rsidRPr="00962011">
              <w:rPr>
                <w:lang w:val="en-NZ"/>
              </w:rPr>
              <w:t xml:space="preserve"> Mobility Parking permits issued</w:t>
            </w:r>
          </w:p>
        </w:tc>
      </w:tr>
      <w:tr w:rsidR="003603AC" w14:paraId="7026C8CC" w14:textId="77777777" w:rsidTr="005D181E">
        <w:trPr>
          <w:cantSplit/>
        </w:trPr>
        <w:tc>
          <w:tcPr>
            <w:tcW w:w="4498" w:type="dxa"/>
            <w:shd w:val="clear" w:color="auto" w:fill="auto"/>
          </w:tcPr>
          <w:p w14:paraId="66A08B7C" w14:textId="04F44911" w:rsidR="003603AC" w:rsidRDefault="003603AC" w:rsidP="005D181E">
            <w:pPr>
              <w:spacing w:before="180" w:after="180"/>
              <w:rPr>
                <w:lang w:val="en-NZ"/>
              </w:rPr>
            </w:pPr>
            <w:r>
              <w:rPr>
                <w:b/>
                <w:bCs/>
                <w:lang w:val="en-NZ"/>
              </w:rPr>
              <w:t>5</w:t>
            </w:r>
            <w:r w:rsidRPr="00962011">
              <w:rPr>
                <w:b/>
                <w:bCs/>
                <w:lang w:val="en-NZ"/>
              </w:rPr>
              <w:t>,</w:t>
            </w:r>
            <w:r>
              <w:rPr>
                <w:b/>
                <w:bCs/>
                <w:lang w:val="en-NZ"/>
              </w:rPr>
              <w:t>698</w:t>
            </w:r>
            <w:r w:rsidRPr="00962011">
              <w:rPr>
                <w:lang w:val="en-NZ"/>
              </w:rPr>
              <w:t xml:space="preserve"> people using Mobility Parking Scheme</w:t>
            </w:r>
          </w:p>
        </w:tc>
        <w:tc>
          <w:tcPr>
            <w:tcW w:w="4498" w:type="dxa"/>
            <w:shd w:val="clear" w:color="auto" w:fill="auto"/>
          </w:tcPr>
          <w:p w14:paraId="3813F18F" w14:textId="58CE77F4" w:rsidR="003603AC" w:rsidRDefault="003603AC" w:rsidP="005D181E">
            <w:pPr>
              <w:spacing w:before="180" w:after="180"/>
              <w:rPr>
                <w:lang w:val="en-NZ"/>
              </w:rPr>
            </w:pPr>
            <w:r>
              <w:rPr>
                <w:b/>
                <w:bCs/>
                <w:lang w:val="en-NZ"/>
              </w:rPr>
              <w:t>6</w:t>
            </w:r>
            <w:r w:rsidRPr="00962011">
              <w:rPr>
                <w:b/>
                <w:bCs/>
                <w:lang w:val="en-NZ"/>
              </w:rPr>
              <w:t>,</w:t>
            </w:r>
            <w:r>
              <w:rPr>
                <w:b/>
                <w:bCs/>
                <w:lang w:val="en-NZ"/>
              </w:rPr>
              <w:t>257</w:t>
            </w:r>
            <w:r w:rsidRPr="00962011">
              <w:rPr>
                <w:lang w:val="en-NZ"/>
              </w:rPr>
              <w:t xml:space="preserve"> people using Mobility Parking Scheme</w:t>
            </w:r>
          </w:p>
        </w:tc>
      </w:tr>
      <w:tr w:rsidR="003603AC" w14:paraId="27FED2D9" w14:textId="77777777" w:rsidTr="005D181E">
        <w:trPr>
          <w:cantSplit/>
        </w:trPr>
        <w:tc>
          <w:tcPr>
            <w:tcW w:w="4498" w:type="dxa"/>
            <w:shd w:val="clear" w:color="auto" w:fill="auto"/>
          </w:tcPr>
          <w:p w14:paraId="1AF22FC0" w14:textId="77777777" w:rsidR="003603AC" w:rsidRDefault="003603AC" w:rsidP="005D181E">
            <w:pPr>
              <w:spacing w:before="180" w:after="180"/>
              <w:rPr>
                <w:lang w:val="en-NZ"/>
              </w:rPr>
            </w:pPr>
            <w:r w:rsidRPr="00962011">
              <w:rPr>
                <w:b/>
                <w:bCs/>
                <w:lang w:val="en-NZ"/>
              </w:rPr>
              <w:t>0</w:t>
            </w:r>
            <w:r w:rsidRPr="00962011">
              <w:rPr>
                <w:lang w:val="en-NZ"/>
              </w:rPr>
              <w:t xml:space="preserve"> education or training sessions provided</w:t>
            </w:r>
          </w:p>
        </w:tc>
        <w:tc>
          <w:tcPr>
            <w:tcW w:w="4498" w:type="dxa"/>
            <w:shd w:val="clear" w:color="auto" w:fill="auto"/>
          </w:tcPr>
          <w:p w14:paraId="581E931E" w14:textId="0A4DEC42" w:rsidR="003603AC" w:rsidRDefault="007B13CA" w:rsidP="005D181E">
            <w:pPr>
              <w:spacing w:before="180" w:after="180"/>
              <w:rPr>
                <w:lang w:val="en-NZ"/>
              </w:rPr>
            </w:pPr>
            <w:r w:rsidRPr="007B13CA">
              <w:rPr>
                <w:b/>
                <w:bCs/>
                <w:lang w:val="en-NZ"/>
              </w:rPr>
              <w:t>0</w:t>
            </w:r>
            <w:r w:rsidR="003603AC" w:rsidRPr="00962011">
              <w:rPr>
                <w:lang w:val="en-NZ"/>
              </w:rPr>
              <w:t xml:space="preserve"> education or training sessions provided</w:t>
            </w:r>
          </w:p>
        </w:tc>
      </w:tr>
      <w:tr w:rsidR="003603AC" w14:paraId="51BD85FF" w14:textId="77777777" w:rsidTr="005D181E">
        <w:trPr>
          <w:cantSplit/>
        </w:trPr>
        <w:tc>
          <w:tcPr>
            <w:tcW w:w="4498" w:type="dxa"/>
            <w:shd w:val="clear" w:color="auto" w:fill="auto"/>
          </w:tcPr>
          <w:p w14:paraId="75EB865A" w14:textId="77777777" w:rsidR="003603AC" w:rsidRDefault="003603AC" w:rsidP="005D181E">
            <w:pPr>
              <w:spacing w:before="180" w:after="180"/>
              <w:rPr>
                <w:lang w:val="en-NZ"/>
              </w:rPr>
            </w:pPr>
            <w:r w:rsidRPr="00962011">
              <w:rPr>
                <w:b/>
                <w:bCs/>
                <w:lang w:val="en-NZ"/>
              </w:rPr>
              <w:t>0</w:t>
            </w:r>
            <w:r w:rsidRPr="00962011">
              <w:rPr>
                <w:lang w:val="en-NZ"/>
              </w:rPr>
              <w:t xml:space="preserve"> local council submissions made</w:t>
            </w:r>
          </w:p>
        </w:tc>
        <w:tc>
          <w:tcPr>
            <w:tcW w:w="4498" w:type="dxa"/>
            <w:shd w:val="clear" w:color="auto" w:fill="auto"/>
          </w:tcPr>
          <w:p w14:paraId="678E1B63" w14:textId="6A6D62CF" w:rsidR="003603AC" w:rsidRDefault="003603AC" w:rsidP="005D181E">
            <w:pPr>
              <w:spacing w:before="180" w:after="180"/>
              <w:rPr>
                <w:lang w:val="en-NZ"/>
              </w:rPr>
            </w:pPr>
            <w:r w:rsidRPr="00962011">
              <w:rPr>
                <w:b/>
                <w:bCs/>
                <w:lang w:val="en-NZ"/>
              </w:rPr>
              <w:t>0</w:t>
            </w:r>
            <w:r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20" w:name="_Toc156473605"/>
      <w:bookmarkStart w:id="21" w:name="_Toc156486822"/>
      <w:bookmarkStart w:id="22" w:name="_Toc157079042"/>
      <w:r w:rsidRPr="00962011">
        <w:rPr>
          <w:lang w:val="en-NZ"/>
        </w:rPr>
        <w:lastRenderedPageBreak/>
        <w:t>Financial summary</w:t>
      </w:r>
      <w:r w:rsidR="00180707" w:rsidRPr="00962011">
        <w:rPr>
          <w:lang w:val="en-NZ"/>
        </w:rPr>
        <w:br/>
      </w:r>
      <w:r w:rsidRPr="00962011">
        <w:rPr>
          <w:lang w:val="en-NZ"/>
        </w:rPr>
        <w:t>For the year ended 30 June 2023</w:t>
      </w:r>
      <w:bookmarkEnd w:id="20"/>
      <w:bookmarkEnd w:id="21"/>
      <w:bookmarkEnd w:id="22"/>
    </w:p>
    <w:p w14:paraId="13EBE351" w14:textId="67CD1000" w:rsidR="00734AF2" w:rsidRPr="00962011" w:rsidRDefault="00734AF2" w:rsidP="00692B9B">
      <w:pPr>
        <w:pStyle w:val="Heading2"/>
        <w:rPr>
          <w:lang w:val="en-NZ"/>
        </w:rPr>
      </w:pPr>
      <w:r w:rsidRPr="00962011">
        <w:rPr>
          <w:lang w:val="en-NZ"/>
        </w:rPr>
        <w:t>Revenue</w:t>
      </w:r>
    </w:p>
    <w:p w14:paraId="40EBCD5B" w14:textId="5BA5C270" w:rsidR="00734AF2" w:rsidRPr="00962011" w:rsidRDefault="00734AF2" w:rsidP="00153292">
      <w:pPr>
        <w:pStyle w:val="ListParagraph"/>
        <w:numPr>
          <w:ilvl w:val="0"/>
          <w:numId w:val="2"/>
        </w:numPr>
        <w:rPr>
          <w:lang w:val="en-NZ"/>
        </w:rPr>
      </w:pPr>
      <w:r w:rsidRPr="00962011">
        <w:rPr>
          <w:lang w:val="en-NZ"/>
        </w:rPr>
        <w:t xml:space="preserve">Government contracts: </w:t>
      </w:r>
      <w:r w:rsidR="00E8347F">
        <w:rPr>
          <w:lang w:val="en-NZ"/>
        </w:rPr>
        <w:t>90</w:t>
      </w:r>
      <w:r w:rsidRPr="00962011">
        <w:rPr>
          <w:lang w:val="en-NZ"/>
        </w:rPr>
        <w:t>%</w:t>
      </w:r>
    </w:p>
    <w:p w14:paraId="21B34FCD" w14:textId="71AF49DD" w:rsidR="00734AF2" w:rsidRPr="00962011" w:rsidRDefault="00734AF2" w:rsidP="00153292">
      <w:pPr>
        <w:pStyle w:val="ListParagraph"/>
        <w:numPr>
          <w:ilvl w:val="0"/>
          <w:numId w:val="2"/>
        </w:numPr>
        <w:rPr>
          <w:lang w:val="en-NZ"/>
        </w:rPr>
      </w:pPr>
      <w:r w:rsidRPr="00962011">
        <w:rPr>
          <w:lang w:val="en-NZ"/>
        </w:rPr>
        <w:t xml:space="preserve">Other revenue: </w:t>
      </w:r>
      <w:r w:rsidR="00E8347F">
        <w:rPr>
          <w:lang w:val="en-NZ"/>
        </w:rPr>
        <w:t>1</w:t>
      </w:r>
      <w:r w:rsidRPr="00962011">
        <w:rPr>
          <w:lang w:val="en-NZ"/>
        </w:rPr>
        <w:t>%</w:t>
      </w:r>
    </w:p>
    <w:p w14:paraId="1C586878" w14:textId="42431A90" w:rsidR="00734AF2" w:rsidRPr="00962011" w:rsidRDefault="00734AF2" w:rsidP="00153292">
      <w:pPr>
        <w:pStyle w:val="ListParagraph"/>
        <w:numPr>
          <w:ilvl w:val="0"/>
          <w:numId w:val="2"/>
        </w:numPr>
        <w:rPr>
          <w:lang w:val="en-NZ"/>
        </w:rPr>
      </w:pPr>
      <w:r w:rsidRPr="00962011">
        <w:rPr>
          <w:lang w:val="en-NZ"/>
        </w:rPr>
        <w:t xml:space="preserve">Investments: </w:t>
      </w:r>
      <w:r w:rsidR="00E8347F">
        <w:rPr>
          <w:lang w:val="en-NZ"/>
        </w:rPr>
        <w:t>3</w:t>
      </w:r>
      <w:r w:rsidRPr="00962011">
        <w:rPr>
          <w:lang w:val="en-NZ"/>
        </w:rPr>
        <w:t>%</w:t>
      </w:r>
    </w:p>
    <w:p w14:paraId="1043D9B0" w14:textId="7FB384C6" w:rsidR="00734AF2" w:rsidRPr="00962011" w:rsidRDefault="00734AF2" w:rsidP="00153292">
      <w:pPr>
        <w:pStyle w:val="ListParagraph"/>
        <w:numPr>
          <w:ilvl w:val="0"/>
          <w:numId w:val="2"/>
        </w:numPr>
        <w:rPr>
          <w:lang w:val="en-NZ"/>
        </w:rPr>
      </w:pPr>
      <w:r w:rsidRPr="00962011">
        <w:rPr>
          <w:lang w:val="en-NZ"/>
        </w:rPr>
        <w:t>Bequests: 1%</w:t>
      </w:r>
    </w:p>
    <w:p w14:paraId="24F996EB" w14:textId="088DD812" w:rsidR="00734AF2" w:rsidRPr="00962011" w:rsidRDefault="00734AF2" w:rsidP="00153292">
      <w:pPr>
        <w:pStyle w:val="ListParagraph"/>
        <w:numPr>
          <w:ilvl w:val="0"/>
          <w:numId w:val="2"/>
        </w:numPr>
        <w:rPr>
          <w:lang w:val="en-NZ"/>
        </w:rPr>
      </w:pPr>
      <w:r w:rsidRPr="00962011">
        <w:rPr>
          <w:lang w:val="en-NZ"/>
        </w:rPr>
        <w:t xml:space="preserve">Other contracts and grants: </w:t>
      </w:r>
      <w:r w:rsidR="00E8347F">
        <w:rPr>
          <w:lang w:val="en-NZ"/>
        </w:rPr>
        <w:t>3</w:t>
      </w:r>
      <w:r w:rsidRPr="00962011">
        <w:rPr>
          <w:lang w:val="en-NZ"/>
        </w:rPr>
        <w:t>%</w:t>
      </w:r>
    </w:p>
    <w:p w14:paraId="0B0A5A0C" w14:textId="4F809E0F" w:rsidR="00734AF2" w:rsidRPr="00962011" w:rsidRDefault="00734AF2" w:rsidP="00153292">
      <w:pPr>
        <w:pStyle w:val="ListParagraph"/>
        <w:numPr>
          <w:ilvl w:val="0"/>
          <w:numId w:val="2"/>
        </w:numPr>
        <w:rPr>
          <w:lang w:val="en-NZ"/>
        </w:rPr>
      </w:pPr>
      <w:r w:rsidRPr="00962011">
        <w:rPr>
          <w:lang w:val="en-NZ"/>
        </w:rPr>
        <w:t xml:space="preserve">Funds raised by CCS DA: </w:t>
      </w:r>
      <w:r w:rsidR="00E8347F">
        <w:rPr>
          <w:lang w:val="en-NZ"/>
        </w:rPr>
        <w:t>2</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495DB09E" w:rsidR="00153292" w:rsidRPr="00962011" w:rsidRDefault="00153292" w:rsidP="00153292">
      <w:pPr>
        <w:pStyle w:val="ListParagraph"/>
        <w:numPr>
          <w:ilvl w:val="0"/>
          <w:numId w:val="3"/>
        </w:numPr>
        <w:rPr>
          <w:lang w:val="en-NZ"/>
        </w:rPr>
      </w:pPr>
      <w:r w:rsidRPr="00962011">
        <w:rPr>
          <w:lang w:val="en-NZ"/>
        </w:rPr>
        <w:t xml:space="preserve">Staff costs including training &amp; development: </w:t>
      </w:r>
      <w:r w:rsidR="00131303">
        <w:rPr>
          <w:lang w:val="en-NZ"/>
        </w:rPr>
        <w:t>61</w:t>
      </w:r>
      <w:r w:rsidRPr="00962011">
        <w:rPr>
          <w:lang w:val="en-NZ"/>
        </w:rPr>
        <w:t>%</w:t>
      </w:r>
    </w:p>
    <w:p w14:paraId="1E7C43DD" w14:textId="76B689EB" w:rsidR="00153292" w:rsidRPr="00962011" w:rsidRDefault="00153292" w:rsidP="00153292">
      <w:pPr>
        <w:pStyle w:val="ListParagraph"/>
        <w:numPr>
          <w:ilvl w:val="0"/>
          <w:numId w:val="3"/>
        </w:numPr>
        <w:rPr>
          <w:lang w:val="en-NZ"/>
        </w:rPr>
      </w:pPr>
      <w:r w:rsidRPr="00962011">
        <w:rPr>
          <w:lang w:val="en-NZ"/>
        </w:rPr>
        <w:t xml:space="preserve">IT: </w:t>
      </w:r>
      <w:r w:rsidR="00131303">
        <w:rPr>
          <w:lang w:val="en-NZ"/>
        </w:rPr>
        <w:t>2</w:t>
      </w:r>
      <w:r w:rsidRPr="00962011">
        <w:rPr>
          <w:lang w:val="en-NZ"/>
        </w:rPr>
        <w:t>%</w:t>
      </w:r>
    </w:p>
    <w:p w14:paraId="5DB8C3D5" w14:textId="524A7087" w:rsidR="00153292" w:rsidRPr="00962011" w:rsidRDefault="00153292" w:rsidP="00153292">
      <w:pPr>
        <w:pStyle w:val="ListParagraph"/>
        <w:numPr>
          <w:ilvl w:val="0"/>
          <w:numId w:val="3"/>
        </w:numPr>
        <w:rPr>
          <w:lang w:val="en-NZ"/>
        </w:rPr>
      </w:pPr>
      <w:r w:rsidRPr="00962011">
        <w:rPr>
          <w:lang w:val="en-NZ"/>
        </w:rPr>
        <w:t xml:space="preserve">Property including furniture, fittings &amp; equipment: </w:t>
      </w:r>
      <w:r w:rsidR="00131303">
        <w:rPr>
          <w:lang w:val="en-NZ"/>
        </w:rPr>
        <w:t>1</w:t>
      </w:r>
      <w:r w:rsidRPr="00962011">
        <w:rPr>
          <w:lang w:val="en-NZ"/>
        </w:rPr>
        <w:t>%</w:t>
      </w:r>
    </w:p>
    <w:p w14:paraId="56CD3C9B" w14:textId="03E1DA86" w:rsidR="00153292" w:rsidRPr="00962011" w:rsidRDefault="00153292" w:rsidP="00153292">
      <w:pPr>
        <w:pStyle w:val="ListParagraph"/>
        <w:numPr>
          <w:ilvl w:val="0"/>
          <w:numId w:val="3"/>
        </w:numPr>
        <w:rPr>
          <w:lang w:val="en-NZ"/>
        </w:rPr>
      </w:pPr>
      <w:r w:rsidRPr="00962011">
        <w:rPr>
          <w:lang w:val="en-NZ"/>
        </w:rPr>
        <w:t xml:space="preserve">Travel and accommodation: </w:t>
      </w:r>
      <w:r w:rsidR="00131303">
        <w:rPr>
          <w:lang w:val="en-NZ"/>
        </w:rPr>
        <w:t>3</w:t>
      </w:r>
      <w:r w:rsidRPr="00962011">
        <w:rPr>
          <w:lang w:val="en-NZ"/>
        </w:rPr>
        <w:t>%</w:t>
      </w:r>
    </w:p>
    <w:p w14:paraId="6B2256A6" w14:textId="425694B2" w:rsidR="00153292" w:rsidRPr="00962011" w:rsidRDefault="00153292" w:rsidP="00153292">
      <w:pPr>
        <w:pStyle w:val="ListParagraph"/>
        <w:numPr>
          <w:ilvl w:val="0"/>
          <w:numId w:val="3"/>
        </w:numPr>
        <w:rPr>
          <w:lang w:val="en-NZ"/>
        </w:rPr>
      </w:pPr>
      <w:r w:rsidRPr="00962011">
        <w:rPr>
          <w:lang w:val="en-NZ"/>
        </w:rPr>
        <w:t>Programme costs: 2</w:t>
      </w:r>
      <w:r w:rsidR="00131303">
        <w:rPr>
          <w:lang w:val="en-NZ"/>
        </w:rPr>
        <w:t>0</w:t>
      </w:r>
      <w:r w:rsidRPr="00962011">
        <w:rPr>
          <w:lang w:val="en-NZ"/>
        </w:rPr>
        <w:t>%</w:t>
      </w:r>
    </w:p>
    <w:p w14:paraId="271F249D" w14:textId="3BF65397" w:rsidR="00153292" w:rsidRPr="00962011" w:rsidRDefault="00153292" w:rsidP="00153292">
      <w:pPr>
        <w:pStyle w:val="ListParagraph"/>
        <w:numPr>
          <w:ilvl w:val="0"/>
          <w:numId w:val="3"/>
        </w:numPr>
        <w:rPr>
          <w:lang w:val="en-NZ"/>
        </w:rPr>
      </w:pPr>
      <w:r w:rsidRPr="00962011">
        <w:rPr>
          <w:lang w:val="en-NZ"/>
        </w:rPr>
        <w:t xml:space="preserve">Other costs: </w:t>
      </w:r>
      <w:r w:rsidR="00131303">
        <w:rPr>
          <w:lang w:val="en-NZ"/>
        </w:rPr>
        <w:t>12</w:t>
      </w:r>
      <w:r w:rsidRPr="00962011">
        <w:rPr>
          <w:lang w:val="en-NZ"/>
        </w:rPr>
        <w:t>%</w:t>
      </w:r>
    </w:p>
    <w:p w14:paraId="792FD846" w14:textId="14A4A011" w:rsidR="00153292" w:rsidRPr="00962011" w:rsidRDefault="00153292" w:rsidP="00153292">
      <w:pPr>
        <w:pStyle w:val="ListParagraph"/>
        <w:numPr>
          <w:ilvl w:val="0"/>
          <w:numId w:val="3"/>
        </w:numPr>
        <w:rPr>
          <w:lang w:val="en-NZ"/>
        </w:rPr>
      </w:pPr>
      <w:r w:rsidRPr="00962011">
        <w:rPr>
          <w:lang w:val="en-NZ"/>
        </w:rPr>
        <w:lastRenderedPageBreak/>
        <w:t xml:space="preserve">Depreciation: </w:t>
      </w:r>
      <w:r w:rsidR="00131303">
        <w:rPr>
          <w:lang w:val="en-NZ"/>
        </w:rPr>
        <w:t>1</w:t>
      </w:r>
      <w:r w:rsidRPr="00962011">
        <w:rPr>
          <w:lang w:val="en-NZ"/>
        </w:rPr>
        <w:t>%</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footerReference w:type="default" r:id="rId8"/>
          <w:pgSz w:w="11906" w:h="16838"/>
          <w:pgMar w:top="1440" w:right="1440" w:bottom="1440" w:left="1440" w:header="708" w:footer="708" w:gutter="0"/>
          <w:cols w:space="708"/>
          <w:docGrid w:linePitch="36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10040"/>
        <w:gridCol w:w="1984"/>
        <w:gridCol w:w="1904"/>
      </w:tblGrid>
      <w:tr w:rsidR="001E18E5" w:rsidRPr="00962011" w14:paraId="49FFF4A0" w14:textId="77777777" w:rsidTr="00401E9B">
        <w:trPr>
          <w:cantSplit/>
          <w:tblHeader/>
        </w:trPr>
        <w:tc>
          <w:tcPr>
            <w:tcW w:w="10040" w:type="dxa"/>
            <w:shd w:val="clear" w:color="auto" w:fill="auto"/>
          </w:tcPr>
          <w:p w14:paraId="0C216B36" w14:textId="77777777" w:rsidR="00153292" w:rsidRPr="00962011" w:rsidRDefault="00153292" w:rsidP="006C26C1">
            <w:pPr>
              <w:spacing w:before="180" w:after="180"/>
              <w:rPr>
                <w:sz w:val="10"/>
                <w:szCs w:val="10"/>
                <w:lang w:val="en-NZ"/>
              </w:rPr>
            </w:pPr>
            <w:bookmarkStart w:id="23" w:name="Title_1"/>
            <w:bookmarkEnd w:id="23"/>
          </w:p>
        </w:tc>
        <w:tc>
          <w:tcPr>
            <w:tcW w:w="1984"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1904"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401E9B">
        <w:trPr>
          <w:cantSplit/>
        </w:trPr>
        <w:tc>
          <w:tcPr>
            <w:tcW w:w="10040"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1984" w:type="dxa"/>
            <w:shd w:val="clear" w:color="auto" w:fill="auto"/>
          </w:tcPr>
          <w:p w14:paraId="0AD13DFC" w14:textId="020FEB3A" w:rsidR="00153292" w:rsidRPr="00962011" w:rsidRDefault="00114A0F" w:rsidP="006C26C1">
            <w:pPr>
              <w:spacing w:before="180" w:after="180"/>
              <w:rPr>
                <w:lang w:val="en-NZ"/>
              </w:rPr>
            </w:pPr>
            <w:r>
              <w:rPr>
                <w:lang w:val="en-NZ"/>
              </w:rPr>
              <w:t>2</w:t>
            </w:r>
            <w:r w:rsidR="00153292" w:rsidRPr="00962011">
              <w:rPr>
                <w:lang w:val="en-NZ"/>
              </w:rPr>
              <w:t>,</w:t>
            </w:r>
            <w:r>
              <w:rPr>
                <w:lang w:val="en-NZ"/>
              </w:rPr>
              <w:t>615</w:t>
            </w:r>
          </w:p>
        </w:tc>
        <w:tc>
          <w:tcPr>
            <w:tcW w:w="1904" w:type="dxa"/>
            <w:shd w:val="clear" w:color="auto" w:fill="auto"/>
          </w:tcPr>
          <w:p w14:paraId="1843AA5E" w14:textId="43DA3C37" w:rsidR="00153292" w:rsidRPr="00962011" w:rsidRDefault="00114A0F" w:rsidP="006C26C1">
            <w:pPr>
              <w:spacing w:before="180" w:after="180"/>
              <w:rPr>
                <w:lang w:val="en-NZ"/>
              </w:rPr>
            </w:pPr>
            <w:r>
              <w:rPr>
                <w:lang w:val="en-NZ"/>
              </w:rPr>
              <w:t>2</w:t>
            </w:r>
            <w:r w:rsidR="00153292" w:rsidRPr="00962011">
              <w:rPr>
                <w:lang w:val="en-NZ"/>
              </w:rPr>
              <w:t>,</w:t>
            </w:r>
            <w:r>
              <w:rPr>
                <w:lang w:val="en-NZ"/>
              </w:rPr>
              <w:t>904</w:t>
            </w:r>
          </w:p>
        </w:tc>
      </w:tr>
      <w:tr w:rsidR="001E18E5" w:rsidRPr="00962011" w14:paraId="3CF5FD8A" w14:textId="77777777" w:rsidTr="00401E9B">
        <w:trPr>
          <w:cantSplit/>
        </w:trPr>
        <w:tc>
          <w:tcPr>
            <w:tcW w:w="10040"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1984" w:type="dxa"/>
            <w:shd w:val="clear" w:color="auto" w:fill="auto"/>
          </w:tcPr>
          <w:p w14:paraId="189947C7" w14:textId="0AFDED81" w:rsidR="00153292" w:rsidRPr="00962011" w:rsidRDefault="00114A0F" w:rsidP="006C26C1">
            <w:pPr>
              <w:spacing w:before="180" w:after="180"/>
              <w:rPr>
                <w:lang w:val="en-NZ"/>
              </w:rPr>
            </w:pPr>
            <w:r>
              <w:rPr>
                <w:lang w:val="en-NZ"/>
              </w:rPr>
              <w:t>2</w:t>
            </w:r>
            <w:r w:rsidR="00153292" w:rsidRPr="00962011">
              <w:rPr>
                <w:lang w:val="en-NZ"/>
              </w:rPr>
              <w:t>,</w:t>
            </w:r>
            <w:r>
              <w:rPr>
                <w:lang w:val="en-NZ"/>
              </w:rPr>
              <w:t>741</w:t>
            </w:r>
          </w:p>
        </w:tc>
        <w:tc>
          <w:tcPr>
            <w:tcW w:w="1904" w:type="dxa"/>
            <w:shd w:val="clear" w:color="auto" w:fill="auto"/>
          </w:tcPr>
          <w:p w14:paraId="4B635663" w14:textId="6CB30B64" w:rsidR="00153292" w:rsidRPr="00962011" w:rsidRDefault="00114A0F" w:rsidP="006C26C1">
            <w:pPr>
              <w:spacing w:before="180" w:after="180"/>
              <w:rPr>
                <w:lang w:val="en-NZ"/>
              </w:rPr>
            </w:pPr>
            <w:r>
              <w:rPr>
                <w:lang w:val="en-NZ"/>
              </w:rPr>
              <w:t>2</w:t>
            </w:r>
            <w:r w:rsidR="00153292" w:rsidRPr="00962011">
              <w:rPr>
                <w:lang w:val="en-NZ"/>
              </w:rPr>
              <w:t>,9</w:t>
            </w:r>
            <w:r>
              <w:rPr>
                <w:lang w:val="en-NZ"/>
              </w:rPr>
              <w:t>08</w:t>
            </w:r>
          </w:p>
        </w:tc>
      </w:tr>
      <w:tr w:rsidR="001E18E5" w:rsidRPr="00962011" w14:paraId="387A015E" w14:textId="77777777" w:rsidTr="00401E9B">
        <w:trPr>
          <w:cantSplit/>
        </w:trPr>
        <w:tc>
          <w:tcPr>
            <w:tcW w:w="10040"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1984" w:type="dxa"/>
            <w:shd w:val="clear" w:color="auto" w:fill="auto"/>
          </w:tcPr>
          <w:p w14:paraId="2BF236A8" w14:textId="68C1C4EF" w:rsidR="00153292" w:rsidRPr="00962011" w:rsidRDefault="00114A0F" w:rsidP="006C26C1">
            <w:pPr>
              <w:spacing w:before="180" w:after="180"/>
              <w:rPr>
                <w:b/>
                <w:bCs/>
                <w:lang w:val="en-NZ"/>
              </w:rPr>
            </w:pPr>
            <w:r>
              <w:rPr>
                <w:b/>
                <w:bCs/>
                <w:lang w:val="en-NZ"/>
              </w:rPr>
              <w:t>(126)</w:t>
            </w:r>
          </w:p>
        </w:tc>
        <w:tc>
          <w:tcPr>
            <w:tcW w:w="1904" w:type="dxa"/>
            <w:shd w:val="clear" w:color="auto" w:fill="auto"/>
          </w:tcPr>
          <w:p w14:paraId="06279B35" w14:textId="3C5D2B41" w:rsidR="00153292" w:rsidRPr="00962011" w:rsidRDefault="00114A0F" w:rsidP="006C26C1">
            <w:pPr>
              <w:spacing w:before="180" w:after="180"/>
              <w:rPr>
                <w:b/>
                <w:bCs/>
                <w:lang w:val="en-NZ"/>
              </w:rPr>
            </w:pPr>
            <w:r>
              <w:rPr>
                <w:b/>
                <w:bCs/>
                <w:lang w:val="en-NZ"/>
              </w:rPr>
              <w:t>(4)</w:t>
            </w:r>
          </w:p>
        </w:tc>
      </w:tr>
      <w:tr w:rsidR="001E18E5" w:rsidRPr="00962011" w14:paraId="602DA485" w14:textId="77777777" w:rsidTr="00401E9B">
        <w:trPr>
          <w:cantSplit/>
        </w:trPr>
        <w:tc>
          <w:tcPr>
            <w:tcW w:w="10040"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1984" w:type="dxa"/>
            <w:shd w:val="clear" w:color="auto" w:fill="auto"/>
          </w:tcPr>
          <w:p w14:paraId="1C1A41CD" w14:textId="7B06DE35" w:rsidR="00153292" w:rsidRPr="00962011" w:rsidRDefault="00CD0EB2" w:rsidP="006C26C1">
            <w:pPr>
              <w:spacing w:before="180" w:after="180"/>
              <w:rPr>
                <w:lang w:val="en-NZ"/>
              </w:rPr>
            </w:pPr>
            <w:r>
              <w:rPr>
                <w:lang w:val="en-NZ"/>
              </w:rPr>
              <w:t>21</w:t>
            </w:r>
          </w:p>
        </w:tc>
        <w:tc>
          <w:tcPr>
            <w:tcW w:w="1904" w:type="dxa"/>
            <w:shd w:val="clear" w:color="auto" w:fill="auto"/>
          </w:tcPr>
          <w:p w14:paraId="365B1B28" w14:textId="2DCD68DF" w:rsidR="00153292" w:rsidRPr="00962011" w:rsidRDefault="00CD0EB2" w:rsidP="006C26C1">
            <w:pPr>
              <w:spacing w:before="180" w:after="180"/>
              <w:rPr>
                <w:lang w:val="en-NZ"/>
              </w:rPr>
            </w:pPr>
            <w:r>
              <w:rPr>
                <w:lang w:val="en-NZ"/>
              </w:rPr>
              <w:t>17</w:t>
            </w:r>
          </w:p>
        </w:tc>
      </w:tr>
      <w:tr w:rsidR="001E18E5" w:rsidRPr="00962011" w14:paraId="0B71343D" w14:textId="77777777" w:rsidTr="00401E9B">
        <w:trPr>
          <w:cantSplit/>
        </w:trPr>
        <w:tc>
          <w:tcPr>
            <w:tcW w:w="10040" w:type="dxa"/>
            <w:shd w:val="clear" w:color="auto" w:fill="auto"/>
          </w:tcPr>
          <w:p w14:paraId="520D7E19" w14:textId="77777777" w:rsidR="00153292" w:rsidRPr="00962011" w:rsidRDefault="00153292" w:rsidP="006C26C1">
            <w:pPr>
              <w:spacing w:before="180" w:after="180"/>
              <w:rPr>
                <w:lang w:val="en-NZ"/>
              </w:rPr>
            </w:pPr>
            <w:r w:rsidRPr="00962011">
              <w:rPr>
                <w:lang w:val="en-NZ"/>
              </w:rPr>
              <w:lastRenderedPageBreak/>
              <w:t>Less social innovation fund contribution</w:t>
            </w:r>
          </w:p>
        </w:tc>
        <w:tc>
          <w:tcPr>
            <w:tcW w:w="1984" w:type="dxa"/>
            <w:shd w:val="clear" w:color="auto" w:fill="auto"/>
          </w:tcPr>
          <w:p w14:paraId="6AAB619E" w14:textId="0B5CAD4E" w:rsidR="00153292" w:rsidRPr="00962011" w:rsidRDefault="00153292" w:rsidP="006C26C1">
            <w:pPr>
              <w:spacing w:before="180" w:after="180"/>
              <w:rPr>
                <w:lang w:val="en-NZ"/>
              </w:rPr>
            </w:pPr>
            <w:r w:rsidRPr="00962011">
              <w:rPr>
                <w:lang w:val="en-NZ"/>
              </w:rPr>
              <w:t>(</w:t>
            </w:r>
            <w:r w:rsidR="00CD0EB2">
              <w:rPr>
                <w:lang w:val="en-NZ"/>
              </w:rPr>
              <w:t>1</w:t>
            </w:r>
            <w:r w:rsidRPr="00962011">
              <w:rPr>
                <w:lang w:val="en-NZ"/>
              </w:rPr>
              <w:t>)</w:t>
            </w:r>
          </w:p>
        </w:tc>
        <w:tc>
          <w:tcPr>
            <w:tcW w:w="1904" w:type="dxa"/>
            <w:shd w:val="clear" w:color="auto" w:fill="auto"/>
          </w:tcPr>
          <w:p w14:paraId="4BCCD0C0" w14:textId="7D713B4F" w:rsidR="00153292" w:rsidRPr="00962011" w:rsidRDefault="00153292" w:rsidP="006C26C1">
            <w:pPr>
              <w:spacing w:before="180" w:after="180"/>
              <w:rPr>
                <w:lang w:val="en-NZ"/>
              </w:rPr>
            </w:pPr>
            <w:r w:rsidRPr="00962011">
              <w:rPr>
                <w:lang w:val="en-NZ"/>
              </w:rPr>
              <w:t>(1)</w:t>
            </w:r>
          </w:p>
        </w:tc>
      </w:tr>
      <w:tr w:rsidR="001E18E5" w:rsidRPr="00962011" w14:paraId="033612DB" w14:textId="77777777" w:rsidTr="00401E9B">
        <w:trPr>
          <w:cantSplit/>
        </w:trPr>
        <w:tc>
          <w:tcPr>
            <w:tcW w:w="10040" w:type="dxa"/>
            <w:shd w:val="clear" w:color="auto" w:fill="auto"/>
          </w:tcPr>
          <w:p w14:paraId="10EDBD83" w14:textId="77777777" w:rsidR="00153292" w:rsidRPr="00962011" w:rsidRDefault="00153292" w:rsidP="006C26C1">
            <w:pPr>
              <w:spacing w:before="180" w:after="180"/>
              <w:rPr>
                <w:lang w:val="en-NZ"/>
              </w:rPr>
            </w:pPr>
            <w:r w:rsidRPr="00962011">
              <w:rPr>
                <w:lang w:val="en-NZ"/>
              </w:rPr>
              <w:t>Grants received/(paid)</w:t>
            </w:r>
          </w:p>
        </w:tc>
        <w:tc>
          <w:tcPr>
            <w:tcW w:w="1984" w:type="dxa"/>
            <w:shd w:val="clear" w:color="auto" w:fill="auto"/>
          </w:tcPr>
          <w:p w14:paraId="0B8C0AA8" w14:textId="3F529686" w:rsidR="00153292" w:rsidRPr="00962011" w:rsidRDefault="00CD0EB2" w:rsidP="006C26C1">
            <w:pPr>
              <w:spacing w:before="180" w:after="180"/>
              <w:rPr>
                <w:lang w:val="en-NZ"/>
              </w:rPr>
            </w:pPr>
            <w:r>
              <w:rPr>
                <w:lang w:val="en-NZ"/>
              </w:rPr>
              <w:t>–</w:t>
            </w:r>
          </w:p>
        </w:tc>
        <w:tc>
          <w:tcPr>
            <w:tcW w:w="1904" w:type="dxa"/>
            <w:shd w:val="clear" w:color="auto" w:fill="auto"/>
          </w:tcPr>
          <w:p w14:paraId="16818E20" w14:textId="733D84C8" w:rsidR="00153292" w:rsidRPr="00962011" w:rsidRDefault="00CD0EB2" w:rsidP="006C26C1">
            <w:pPr>
              <w:spacing w:before="180" w:after="180"/>
              <w:rPr>
                <w:lang w:val="en-NZ"/>
              </w:rPr>
            </w:pPr>
            <w:r>
              <w:rPr>
                <w:lang w:val="en-NZ"/>
              </w:rPr>
              <w:t>–</w:t>
            </w:r>
          </w:p>
        </w:tc>
      </w:tr>
      <w:tr w:rsidR="001E18E5" w:rsidRPr="00962011" w14:paraId="5ED23A26" w14:textId="77777777" w:rsidTr="00401E9B">
        <w:trPr>
          <w:cantSplit/>
        </w:trPr>
        <w:tc>
          <w:tcPr>
            <w:tcW w:w="10040" w:type="dxa"/>
            <w:shd w:val="clear" w:color="auto" w:fill="auto"/>
          </w:tcPr>
          <w:p w14:paraId="4C7E1BFF" w14:textId="77777777" w:rsidR="00153292" w:rsidRPr="00962011" w:rsidRDefault="00153292" w:rsidP="006C26C1">
            <w:pPr>
              <w:spacing w:before="180" w:after="180"/>
              <w:rPr>
                <w:lang w:val="en-NZ"/>
              </w:rPr>
            </w:pPr>
            <w:r w:rsidRPr="00962011">
              <w:rPr>
                <w:lang w:val="en-NZ"/>
              </w:rPr>
              <w:t>Realised gain/(loss) on sale of fixed assets</w:t>
            </w:r>
          </w:p>
        </w:tc>
        <w:tc>
          <w:tcPr>
            <w:tcW w:w="1984" w:type="dxa"/>
            <w:shd w:val="clear" w:color="auto" w:fill="auto"/>
          </w:tcPr>
          <w:p w14:paraId="1D04E793" w14:textId="7AC8F6EE" w:rsidR="00153292" w:rsidRPr="00962011" w:rsidRDefault="00CD0EB2" w:rsidP="006C26C1">
            <w:pPr>
              <w:spacing w:before="180" w:after="180"/>
              <w:rPr>
                <w:lang w:val="en-NZ"/>
              </w:rPr>
            </w:pPr>
            <w:r>
              <w:rPr>
                <w:lang w:val="en-NZ"/>
              </w:rPr>
              <w:t>15</w:t>
            </w:r>
          </w:p>
        </w:tc>
        <w:tc>
          <w:tcPr>
            <w:tcW w:w="1904" w:type="dxa"/>
            <w:shd w:val="clear" w:color="auto" w:fill="auto"/>
          </w:tcPr>
          <w:p w14:paraId="6034A607" w14:textId="79CC6D18" w:rsidR="00153292" w:rsidRPr="00962011" w:rsidRDefault="00CD0EB2" w:rsidP="006C26C1">
            <w:pPr>
              <w:spacing w:before="180" w:after="180"/>
              <w:rPr>
                <w:lang w:val="en-NZ"/>
              </w:rPr>
            </w:pPr>
            <w:r>
              <w:rPr>
                <w:lang w:val="en-NZ"/>
              </w:rPr>
              <w:t>–</w:t>
            </w:r>
          </w:p>
        </w:tc>
      </w:tr>
      <w:tr w:rsidR="001E18E5" w:rsidRPr="00962011" w14:paraId="08A5481F" w14:textId="77777777" w:rsidTr="00401E9B">
        <w:trPr>
          <w:cantSplit/>
        </w:trPr>
        <w:tc>
          <w:tcPr>
            <w:tcW w:w="10040" w:type="dxa"/>
            <w:shd w:val="clear" w:color="auto" w:fill="auto"/>
          </w:tcPr>
          <w:p w14:paraId="420DBB51" w14:textId="77777777" w:rsidR="00153292" w:rsidRPr="00962011" w:rsidRDefault="00153292" w:rsidP="006C26C1">
            <w:pPr>
              <w:spacing w:before="180" w:after="180"/>
              <w:rPr>
                <w:lang w:val="en-NZ"/>
              </w:rPr>
            </w:pPr>
            <w:r w:rsidRPr="00962011">
              <w:rPr>
                <w:lang w:val="en-NZ"/>
              </w:rPr>
              <w:t>Realised and unrealised gain/(loss) on investments</w:t>
            </w:r>
          </w:p>
        </w:tc>
        <w:tc>
          <w:tcPr>
            <w:tcW w:w="1984" w:type="dxa"/>
            <w:shd w:val="clear" w:color="auto" w:fill="auto"/>
          </w:tcPr>
          <w:p w14:paraId="23D7E167" w14:textId="7858CEEC" w:rsidR="00153292" w:rsidRPr="00962011" w:rsidRDefault="00CD0EB2" w:rsidP="006C26C1">
            <w:pPr>
              <w:spacing w:before="180" w:after="180"/>
              <w:rPr>
                <w:lang w:val="en-NZ"/>
              </w:rPr>
            </w:pPr>
            <w:r>
              <w:rPr>
                <w:lang w:val="en-NZ"/>
              </w:rPr>
              <w:t>(6)</w:t>
            </w:r>
          </w:p>
        </w:tc>
        <w:tc>
          <w:tcPr>
            <w:tcW w:w="1904" w:type="dxa"/>
            <w:shd w:val="clear" w:color="auto" w:fill="auto"/>
          </w:tcPr>
          <w:p w14:paraId="2BEEF121" w14:textId="5C597926" w:rsidR="00153292" w:rsidRPr="00962011" w:rsidRDefault="00153292" w:rsidP="006C26C1">
            <w:pPr>
              <w:spacing w:before="180" w:after="180"/>
              <w:rPr>
                <w:lang w:val="en-NZ"/>
              </w:rPr>
            </w:pPr>
            <w:r w:rsidRPr="00962011">
              <w:rPr>
                <w:lang w:val="en-NZ"/>
              </w:rPr>
              <w:t>(9</w:t>
            </w:r>
            <w:r w:rsidR="00CD0EB2">
              <w:rPr>
                <w:lang w:val="en-NZ"/>
              </w:rPr>
              <w:t>4</w:t>
            </w:r>
            <w:r w:rsidRPr="00962011">
              <w:rPr>
                <w:lang w:val="en-NZ"/>
              </w:rPr>
              <w:t>)</w:t>
            </w:r>
          </w:p>
        </w:tc>
      </w:tr>
      <w:tr w:rsidR="001E18E5" w:rsidRPr="00962011" w14:paraId="5473847D" w14:textId="77777777" w:rsidTr="00401E9B">
        <w:trPr>
          <w:cantSplit/>
        </w:trPr>
        <w:tc>
          <w:tcPr>
            <w:tcW w:w="10040" w:type="dxa"/>
            <w:shd w:val="clear" w:color="auto" w:fill="auto"/>
          </w:tcPr>
          <w:p w14:paraId="47CC8B87" w14:textId="77777777" w:rsidR="00153292" w:rsidRPr="00962011" w:rsidRDefault="00153292" w:rsidP="006C26C1">
            <w:pPr>
              <w:spacing w:before="180" w:after="180"/>
              <w:rPr>
                <w:lang w:val="en-NZ"/>
              </w:rPr>
            </w:pPr>
            <w:r w:rsidRPr="00962011">
              <w:rPr>
                <w:lang w:val="en-NZ"/>
              </w:rPr>
              <w:t>Other comprehensive revenue and expense</w:t>
            </w:r>
          </w:p>
        </w:tc>
        <w:tc>
          <w:tcPr>
            <w:tcW w:w="1984" w:type="dxa"/>
            <w:shd w:val="clear" w:color="auto" w:fill="auto"/>
          </w:tcPr>
          <w:p w14:paraId="0D1191B6" w14:textId="62998FFC" w:rsidR="00153292" w:rsidRPr="00962011" w:rsidRDefault="006250FD" w:rsidP="006C26C1">
            <w:pPr>
              <w:spacing w:before="180" w:after="180"/>
              <w:rPr>
                <w:lang w:val="en-NZ"/>
              </w:rPr>
            </w:pPr>
            <w:r>
              <w:rPr>
                <w:lang w:val="en-NZ"/>
              </w:rPr>
              <w:t>–</w:t>
            </w:r>
          </w:p>
        </w:tc>
        <w:tc>
          <w:tcPr>
            <w:tcW w:w="1904" w:type="dxa"/>
            <w:shd w:val="clear" w:color="auto" w:fill="auto"/>
          </w:tcPr>
          <w:p w14:paraId="760FBA85" w14:textId="7ADCAD07" w:rsidR="00153292" w:rsidRPr="00962011" w:rsidRDefault="006250FD" w:rsidP="006C26C1">
            <w:pPr>
              <w:spacing w:before="180" w:after="180"/>
              <w:rPr>
                <w:lang w:val="en-NZ"/>
              </w:rPr>
            </w:pPr>
            <w:r>
              <w:rPr>
                <w:lang w:val="en-NZ"/>
              </w:rPr>
              <w:t>–</w:t>
            </w:r>
          </w:p>
        </w:tc>
      </w:tr>
      <w:tr w:rsidR="001E18E5" w:rsidRPr="00962011" w14:paraId="35C81494" w14:textId="77777777" w:rsidTr="00401E9B">
        <w:trPr>
          <w:cantSplit/>
        </w:trPr>
        <w:tc>
          <w:tcPr>
            <w:tcW w:w="10040"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1984" w:type="dxa"/>
            <w:shd w:val="clear" w:color="auto" w:fill="auto"/>
          </w:tcPr>
          <w:p w14:paraId="3B359281" w14:textId="4DB518D2" w:rsidR="00153292" w:rsidRPr="00962011" w:rsidRDefault="006250FD" w:rsidP="006C26C1">
            <w:pPr>
              <w:spacing w:before="180" w:after="180"/>
              <w:rPr>
                <w:b/>
                <w:bCs/>
                <w:lang w:val="en-NZ"/>
              </w:rPr>
            </w:pPr>
            <w:r>
              <w:rPr>
                <w:b/>
                <w:bCs/>
                <w:lang w:val="en-NZ"/>
              </w:rPr>
              <w:t>(97)</w:t>
            </w:r>
          </w:p>
        </w:tc>
        <w:tc>
          <w:tcPr>
            <w:tcW w:w="1904" w:type="dxa"/>
            <w:shd w:val="clear" w:color="auto" w:fill="auto"/>
          </w:tcPr>
          <w:p w14:paraId="11424119" w14:textId="2E51A5DF" w:rsidR="00153292" w:rsidRPr="00962011" w:rsidRDefault="00153292" w:rsidP="006C26C1">
            <w:pPr>
              <w:spacing w:before="180" w:after="180"/>
              <w:rPr>
                <w:b/>
                <w:bCs/>
                <w:lang w:val="en-NZ"/>
              </w:rPr>
            </w:pPr>
            <w:r w:rsidRPr="00962011">
              <w:rPr>
                <w:b/>
                <w:bCs/>
                <w:lang w:val="en-NZ"/>
              </w:rPr>
              <w:t>(</w:t>
            </w:r>
            <w:r w:rsidR="006250FD">
              <w:rPr>
                <w:b/>
                <w:bCs/>
                <w:lang w:val="en-NZ"/>
              </w:rPr>
              <w:t>82</w:t>
            </w:r>
            <w:r w:rsidRPr="00962011">
              <w:rPr>
                <w:b/>
                <w:bCs/>
                <w:lang w:val="en-NZ"/>
              </w:rPr>
              <w:t>)</w:t>
            </w:r>
          </w:p>
        </w:tc>
      </w:tr>
    </w:tbl>
    <w:p w14:paraId="57CA49F5" w14:textId="77777777"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898"/>
        <w:gridCol w:w="2126"/>
        <w:gridCol w:w="1904"/>
      </w:tblGrid>
      <w:tr w:rsidR="00D66EA2" w:rsidRPr="00962011" w14:paraId="3EF0A92E" w14:textId="77777777" w:rsidTr="00401E9B">
        <w:trPr>
          <w:cantSplit/>
          <w:tblHeader/>
        </w:trPr>
        <w:tc>
          <w:tcPr>
            <w:tcW w:w="9898" w:type="dxa"/>
            <w:shd w:val="clear" w:color="auto" w:fill="auto"/>
          </w:tcPr>
          <w:p w14:paraId="79E4C27B" w14:textId="77777777" w:rsidR="00D66EA2" w:rsidRPr="00962011" w:rsidRDefault="00D66EA2" w:rsidP="00D66EA2">
            <w:pPr>
              <w:spacing w:before="180" w:after="180"/>
              <w:rPr>
                <w:lang w:val="en-NZ"/>
              </w:rPr>
            </w:pPr>
            <w:bookmarkStart w:id="24" w:name="Title_2"/>
            <w:bookmarkEnd w:id="24"/>
          </w:p>
        </w:tc>
        <w:tc>
          <w:tcPr>
            <w:tcW w:w="2126"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1904"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401E9B">
        <w:trPr>
          <w:cantSplit/>
          <w:tblHeader/>
        </w:trPr>
        <w:tc>
          <w:tcPr>
            <w:tcW w:w="9898"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126" w:type="dxa"/>
            <w:shd w:val="clear" w:color="auto" w:fill="auto"/>
          </w:tcPr>
          <w:p w14:paraId="13133EFB" w14:textId="34F5071B" w:rsidR="00153292" w:rsidRPr="00962011" w:rsidRDefault="00325C6E" w:rsidP="00932C85">
            <w:pPr>
              <w:spacing w:before="180" w:after="180"/>
              <w:rPr>
                <w:lang w:val="en-NZ"/>
              </w:rPr>
            </w:pPr>
            <w:r>
              <w:rPr>
                <w:lang w:val="en-NZ"/>
              </w:rPr>
              <w:t>3</w:t>
            </w:r>
            <w:r w:rsidR="00153292" w:rsidRPr="00962011">
              <w:rPr>
                <w:lang w:val="en-NZ"/>
              </w:rPr>
              <w:t>,</w:t>
            </w:r>
            <w:r>
              <w:rPr>
                <w:lang w:val="en-NZ"/>
              </w:rPr>
              <w:t>549</w:t>
            </w:r>
          </w:p>
        </w:tc>
        <w:tc>
          <w:tcPr>
            <w:tcW w:w="1904" w:type="dxa"/>
            <w:shd w:val="clear" w:color="auto" w:fill="auto"/>
          </w:tcPr>
          <w:p w14:paraId="6463E92A" w14:textId="786323C9" w:rsidR="00153292" w:rsidRPr="00962011" w:rsidRDefault="00153292" w:rsidP="00932C85">
            <w:pPr>
              <w:spacing w:before="180" w:after="180"/>
              <w:rPr>
                <w:lang w:val="en-NZ"/>
              </w:rPr>
            </w:pPr>
            <w:r w:rsidRPr="00962011">
              <w:rPr>
                <w:lang w:val="en-NZ"/>
              </w:rPr>
              <w:t>3</w:t>
            </w:r>
            <w:r w:rsidR="00325C6E">
              <w:rPr>
                <w:lang w:val="en-NZ"/>
              </w:rPr>
              <w:t>,631</w:t>
            </w:r>
          </w:p>
        </w:tc>
      </w:tr>
      <w:tr w:rsidR="00D66EA2" w:rsidRPr="00962011" w14:paraId="49F6595A" w14:textId="77777777" w:rsidTr="00401E9B">
        <w:trPr>
          <w:cantSplit/>
        </w:trPr>
        <w:tc>
          <w:tcPr>
            <w:tcW w:w="9898"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126" w:type="dxa"/>
            <w:shd w:val="clear" w:color="auto" w:fill="auto"/>
          </w:tcPr>
          <w:p w14:paraId="53C0D6FC" w14:textId="40522203" w:rsidR="00153292" w:rsidRPr="00962011" w:rsidRDefault="00325C6E" w:rsidP="00932C85">
            <w:pPr>
              <w:spacing w:before="180" w:after="180"/>
              <w:rPr>
                <w:lang w:val="en-NZ"/>
              </w:rPr>
            </w:pPr>
            <w:r>
              <w:rPr>
                <w:lang w:val="en-NZ"/>
              </w:rPr>
              <w:t>(97)</w:t>
            </w:r>
          </w:p>
        </w:tc>
        <w:tc>
          <w:tcPr>
            <w:tcW w:w="1904" w:type="dxa"/>
            <w:shd w:val="clear" w:color="auto" w:fill="auto"/>
          </w:tcPr>
          <w:p w14:paraId="280459D0" w14:textId="3FB7E8D5" w:rsidR="00153292" w:rsidRPr="00962011" w:rsidRDefault="00153292" w:rsidP="00932C85">
            <w:pPr>
              <w:spacing w:before="180" w:after="180"/>
              <w:rPr>
                <w:lang w:val="en-NZ"/>
              </w:rPr>
            </w:pPr>
            <w:r w:rsidRPr="00962011">
              <w:rPr>
                <w:lang w:val="en-NZ"/>
              </w:rPr>
              <w:t>(</w:t>
            </w:r>
            <w:r w:rsidR="00325C6E">
              <w:rPr>
                <w:lang w:val="en-NZ"/>
              </w:rPr>
              <w:t>82</w:t>
            </w:r>
            <w:r w:rsidRPr="00962011">
              <w:rPr>
                <w:lang w:val="en-NZ"/>
              </w:rPr>
              <w:t>)</w:t>
            </w:r>
          </w:p>
        </w:tc>
      </w:tr>
      <w:tr w:rsidR="00D66EA2" w:rsidRPr="00962011" w14:paraId="6C67C69F" w14:textId="77777777" w:rsidTr="00401E9B">
        <w:trPr>
          <w:cantSplit/>
        </w:trPr>
        <w:tc>
          <w:tcPr>
            <w:tcW w:w="9898" w:type="dxa"/>
            <w:shd w:val="clear" w:color="auto" w:fill="auto"/>
          </w:tcPr>
          <w:p w14:paraId="0ACEB4E7" w14:textId="77777777" w:rsidR="00153292" w:rsidRPr="00C60F7E" w:rsidRDefault="00153292" w:rsidP="00932C85">
            <w:pPr>
              <w:spacing w:before="180" w:after="180"/>
              <w:rPr>
                <w:b/>
                <w:bCs/>
                <w:lang w:val="en-NZ"/>
              </w:rPr>
            </w:pPr>
            <w:r w:rsidRPr="00C60F7E">
              <w:rPr>
                <w:b/>
                <w:bCs/>
                <w:lang w:val="en-NZ"/>
              </w:rPr>
              <w:t>Closing Balance as at 30 June</w:t>
            </w:r>
          </w:p>
        </w:tc>
        <w:tc>
          <w:tcPr>
            <w:tcW w:w="2126" w:type="dxa"/>
            <w:shd w:val="clear" w:color="auto" w:fill="auto"/>
          </w:tcPr>
          <w:p w14:paraId="36FEC847" w14:textId="4C2B7D17" w:rsidR="00153292" w:rsidRPr="00C60F7E" w:rsidRDefault="00325C6E" w:rsidP="00932C85">
            <w:pPr>
              <w:spacing w:before="180" w:after="180"/>
              <w:rPr>
                <w:b/>
                <w:bCs/>
                <w:lang w:val="en-NZ"/>
              </w:rPr>
            </w:pPr>
            <w:r w:rsidRPr="00C60F7E">
              <w:rPr>
                <w:b/>
                <w:bCs/>
                <w:lang w:val="en-NZ"/>
              </w:rPr>
              <w:t>3,452</w:t>
            </w:r>
          </w:p>
        </w:tc>
        <w:tc>
          <w:tcPr>
            <w:tcW w:w="1904" w:type="dxa"/>
            <w:shd w:val="clear" w:color="auto" w:fill="auto"/>
          </w:tcPr>
          <w:p w14:paraId="675614C5" w14:textId="0BA6B1A5" w:rsidR="00153292" w:rsidRPr="00C60F7E" w:rsidRDefault="00325C6E" w:rsidP="00932C85">
            <w:pPr>
              <w:spacing w:before="180" w:after="180"/>
              <w:rPr>
                <w:b/>
                <w:bCs/>
                <w:lang w:val="en-NZ"/>
              </w:rPr>
            </w:pPr>
            <w:r w:rsidRPr="00C60F7E">
              <w:rPr>
                <w:b/>
                <w:bCs/>
                <w:lang w:val="en-NZ"/>
              </w:rPr>
              <w:t>3</w:t>
            </w:r>
            <w:r w:rsidR="00153292" w:rsidRPr="00C60F7E">
              <w:rPr>
                <w:b/>
                <w:bCs/>
                <w:lang w:val="en-NZ"/>
              </w:rPr>
              <w:t>,</w:t>
            </w:r>
            <w:r w:rsidRPr="00C60F7E">
              <w:rPr>
                <w:b/>
                <w:bCs/>
                <w:lang w:val="en-NZ"/>
              </w:rPr>
              <w:t>549</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906"/>
        <w:gridCol w:w="2551"/>
        <w:gridCol w:w="2471"/>
      </w:tblGrid>
      <w:tr w:rsidR="00FB2041" w:rsidRPr="00962011" w14:paraId="39BD7250" w14:textId="77777777" w:rsidTr="00401E9B">
        <w:trPr>
          <w:cantSplit/>
          <w:tblHeader/>
        </w:trPr>
        <w:tc>
          <w:tcPr>
            <w:tcW w:w="8906" w:type="dxa"/>
            <w:shd w:val="clear" w:color="auto" w:fill="auto"/>
          </w:tcPr>
          <w:p w14:paraId="5EB60A24" w14:textId="77777777" w:rsidR="00153292" w:rsidRPr="00962011" w:rsidRDefault="00153292" w:rsidP="00FB2041">
            <w:pPr>
              <w:spacing w:before="180" w:after="180"/>
              <w:rPr>
                <w:sz w:val="10"/>
                <w:szCs w:val="10"/>
                <w:lang w:val="en-NZ"/>
              </w:rPr>
            </w:pPr>
            <w:bookmarkStart w:id="25" w:name="Title_3"/>
            <w:bookmarkEnd w:id="25"/>
          </w:p>
        </w:tc>
        <w:tc>
          <w:tcPr>
            <w:tcW w:w="255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471"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401E9B">
        <w:trPr>
          <w:cantSplit/>
        </w:trPr>
        <w:tc>
          <w:tcPr>
            <w:tcW w:w="8906"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551" w:type="dxa"/>
            <w:shd w:val="clear" w:color="auto" w:fill="auto"/>
          </w:tcPr>
          <w:p w14:paraId="64A526CB" w14:textId="04BF9B13" w:rsidR="00153292" w:rsidRPr="00962011" w:rsidRDefault="00C60F7E" w:rsidP="00FB2041">
            <w:pPr>
              <w:spacing w:before="180" w:after="180"/>
              <w:rPr>
                <w:lang w:val="en-NZ"/>
              </w:rPr>
            </w:pPr>
            <w:r>
              <w:rPr>
                <w:lang w:val="en-NZ"/>
              </w:rPr>
              <w:t>801</w:t>
            </w:r>
          </w:p>
        </w:tc>
        <w:tc>
          <w:tcPr>
            <w:tcW w:w="2471" w:type="dxa"/>
            <w:shd w:val="clear" w:color="auto" w:fill="auto"/>
          </w:tcPr>
          <w:p w14:paraId="2ECE2DD0" w14:textId="6D2298F1" w:rsidR="00153292" w:rsidRPr="00962011" w:rsidRDefault="00C60F7E" w:rsidP="00FB2041">
            <w:pPr>
              <w:spacing w:before="180" w:after="180"/>
              <w:rPr>
                <w:lang w:val="en-NZ"/>
              </w:rPr>
            </w:pPr>
            <w:r>
              <w:rPr>
                <w:lang w:val="en-NZ"/>
              </w:rPr>
              <w:t>951</w:t>
            </w:r>
          </w:p>
        </w:tc>
      </w:tr>
      <w:tr w:rsidR="00254D9C" w:rsidRPr="00962011" w14:paraId="6A49B833" w14:textId="77777777" w:rsidTr="00401E9B">
        <w:trPr>
          <w:cantSplit/>
        </w:trPr>
        <w:tc>
          <w:tcPr>
            <w:tcW w:w="8906"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551" w:type="dxa"/>
            <w:shd w:val="clear" w:color="auto" w:fill="auto"/>
          </w:tcPr>
          <w:p w14:paraId="6E78747F" w14:textId="36C6F09C" w:rsidR="00153292" w:rsidRPr="00962011" w:rsidRDefault="00C60F7E" w:rsidP="00FB2041">
            <w:pPr>
              <w:spacing w:before="180" w:after="180"/>
              <w:rPr>
                <w:lang w:val="en-NZ"/>
              </w:rPr>
            </w:pPr>
            <w:r>
              <w:rPr>
                <w:lang w:val="en-NZ"/>
              </w:rPr>
              <w:t>3</w:t>
            </w:r>
            <w:r w:rsidR="00153292" w:rsidRPr="00962011">
              <w:rPr>
                <w:lang w:val="en-NZ"/>
              </w:rPr>
              <w:t>,</w:t>
            </w:r>
            <w:r>
              <w:rPr>
                <w:lang w:val="en-NZ"/>
              </w:rPr>
              <w:t>074</w:t>
            </w:r>
          </w:p>
        </w:tc>
        <w:tc>
          <w:tcPr>
            <w:tcW w:w="2471" w:type="dxa"/>
            <w:shd w:val="clear" w:color="auto" w:fill="auto"/>
          </w:tcPr>
          <w:p w14:paraId="1E1A194F" w14:textId="5E8E1772" w:rsidR="00153292" w:rsidRPr="00962011" w:rsidRDefault="00C60F7E" w:rsidP="00FB2041">
            <w:pPr>
              <w:spacing w:before="180" w:after="180"/>
              <w:rPr>
                <w:lang w:val="en-NZ"/>
              </w:rPr>
            </w:pPr>
            <w:r>
              <w:rPr>
                <w:lang w:val="en-NZ"/>
              </w:rPr>
              <w:t>3</w:t>
            </w:r>
            <w:r w:rsidR="00153292" w:rsidRPr="00962011">
              <w:rPr>
                <w:lang w:val="en-NZ"/>
              </w:rPr>
              <w:t>,</w:t>
            </w:r>
            <w:r>
              <w:rPr>
                <w:lang w:val="en-NZ"/>
              </w:rPr>
              <w:t>043</w:t>
            </w:r>
          </w:p>
        </w:tc>
      </w:tr>
      <w:tr w:rsidR="00254D9C" w:rsidRPr="00962011" w14:paraId="5F735AAE" w14:textId="77777777" w:rsidTr="00401E9B">
        <w:trPr>
          <w:cantSplit/>
        </w:trPr>
        <w:tc>
          <w:tcPr>
            <w:tcW w:w="8906"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551" w:type="dxa"/>
            <w:shd w:val="clear" w:color="auto" w:fill="auto"/>
          </w:tcPr>
          <w:p w14:paraId="2797E7B0" w14:textId="7639C96E" w:rsidR="00153292" w:rsidRPr="00962011" w:rsidRDefault="00C60F7E" w:rsidP="00FB2041">
            <w:pPr>
              <w:spacing w:before="180" w:after="180"/>
              <w:rPr>
                <w:b/>
                <w:bCs/>
                <w:lang w:val="en-NZ"/>
              </w:rPr>
            </w:pPr>
            <w:r>
              <w:rPr>
                <w:b/>
                <w:bCs/>
                <w:lang w:val="en-NZ"/>
              </w:rPr>
              <w:t>3</w:t>
            </w:r>
            <w:r w:rsidR="00153292" w:rsidRPr="00962011">
              <w:rPr>
                <w:b/>
                <w:bCs/>
                <w:lang w:val="en-NZ"/>
              </w:rPr>
              <w:t>,</w:t>
            </w:r>
            <w:r>
              <w:rPr>
                <w:b/>
                <w:bCs/>
                <w:lang w:val="en-NZ"/>
              </w:rPr>
              <w:t>875</w:t>
            </w:r>
          </w:p>
        </w:tc>
        <w:tc>
          <w:tcPr>
            <w:tcW w:w="2471" w:type="dxa"/>
            <w:shd w:val="clear" w:color="auto" w:fill="auto"/>
          </w:tcPr>
          <w:p w14:paraId="09A02335" w14:textId="0744E3E4" w:rsidR="00153292" w:rsidRPr="00962011" w:rsidRDefault="00C60F7E" w:rsidP="00FB2041">
            <w:pPr>
              <w:spacing w:before="180" w:after="180"/>
              <w:rPr>
                <w:b/>
                <w:bCs/>
                <w:lang w:val="en-NZ"/>
              </w:rPr>
            </w:pPr>
            <w:r>
              <w:rPr>
                <w:b/>
                <w:bCs/>
                <w:lang w:val="en-NZ"/>
              </w:rPr>
              <w:t>3</w:t>
            </w:r>
            <w:r w:rsidR="00153292" w:rsidRPr="00962011">
              <w:rPr>
                <w:b/>
                <w:bCs/>
                <w:lang w:val="en-NZ"/>
              </w:rPr>
              <w:t>,</w:t>
            </w:r>
            <w:r>
              <w:rPr>
                <w:b/>
                <w:bCs/>
                <w:lang w:val="en-NZ"/>
              </w:rPr>
              <w:t>994</w:t>
            </w:r>
          </w:p>
        </w:tc>
      </w:tr>
      <w:tr w:rsidR="00254D9C" w:rsidRPr="00962011" w14:paraId="777EA833" w14:textId="77777777" w:rsidTr="00401E9B">
        <w:trPr>
          <w:cantSplit/>
        </w:trPr>
        <w:tc>
          <w:tcPr>
            <w:tcW w:w="8906"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551" w:type="dxa"/>
            <w:shd w:val="clear" w:color="auto" w:fill="auto"/>
          </w:tcPr>
          <w:p w14:paraId="01CBD73C" w14:textId="64A695DD" w:rsidR="00153292" w:rsidRPr="00962011" w:rsidRDefault="00C60F7E" w:rsidP="00FB2041">
            <w:pPr>
              <w:spacing w:before="180" w:after="180"/>
              <w:rPr>
                <w:lang w:val="en-NZ"/>
              </w:rPr>
            </w:pPr>
            <w:r>
              <w:rPr>
                <w:lang w:val="en-NZ"/>
              </w:rPr>
              <w:t>423</w:t>
            </w:r>
          </w:p>
        </w:tc>
        <w:tc>
          <w:tcPr>
            <w:tcW w:w="2471" w:type="dxa"/>
            <w:shd w:val="clear" w:color="auto" w:fill="auto"/>
          </w:tcPr>
          <w:p w14:paraId="040CBB6B" w14:textId="5E09C4B1" w:rsidR="00153292" w:rsidRPr="00962011" w:rsidRDefault="00C60F7E" w:rsidP="00FB2041">
            <w:pPr>
              <w:spacing w:before="180" w:after="180"/>
              <w:rPr>
                <w:lang w:val="en-NZ"/>
              </w:rPr>
            </w:pPr>
            <w:r>
              <w:rPr>
                <w:lang w:val="en-NZ"/>
              </w:rPr>
              <w:t>445</w:t>
            </w:r>
          </w:p>
        </w:tc>
      </w:tr>
      <w:tr w:rsidR="00254D9C" w:rsidRPr="00962011" w14:paraId="67F25243" w14:textId="77777777" w:rsidTr="00401E9B">
        <w:trPr>
          <w:cantSplit/>
        </w:trPr>
        <w:tc>
          <w:tcPr>
            <w:tcW w:w="8906" w:type="dxa"/>
            <w:shd w:val="clear" w:color="auto" w:fill="auto"/>
          </w:tcPr>
          <w:p w14:paraId="5107A36E" w14:textId="77777777" w:rsidR="00153292" w:rsidRPr="00962011" w:rsidRDefault="00153292" w:rsidP="00FB2041">
            <w:pPr>
              <w:spacing w:before="180" w:after="180"/>
              <w:rPr>
                <w:lang w:val="en-NZ"/>
              </w:rPr>
            </w:pPr>
            <w:r w:rsidRPr="00962011">
              <w:rPr>
                <w:lang w:val="en-NZ"/>
              </w:rPr>
              <w:t>Non-current liabilities</w:t>
            </w:r>
          </w:p>
        </w:tc>
        <w:tc>
          <w:tcPr>
            <w:tcW w:w="2551" w:type="dxa"/>
            <w:shd w:val="clear" w:color="auto" w:fill="auto"/>
          </w:tcPr>
          <w:p w14:paraId="2D1587B5" w14:textId="3B24E7C9" w:rsidR="00153292" w:rsidRPr="00962011" w:rsidRDefault="00DE22D6" w:rsidP="00FB2041">
            <w:pPr>
              <w:spacing w:before="180" w:after="180"/>
              <w:rPr>
                <w:lang w:val="en-NZ"/>
              </w:rPr>
            </w:pPr>
            <w:r>
              <w:rPr>
                <w:lang w:val="en-NZ"/>
              </w:rPr>
              <w:t>–</w:t>
            </w:r>
          </w:p>
        </w:tc>
        <w:tc>
          <w:tcPr>
            <w:tcW w:w="2471" w:type="dxa"/>
            <w:shd w:val="clear" w:color="auto" w:fill="auto"/>
          </w:tcPr>
          <w:p w14:paraId="2E03EEF1" w14:textId="636BB197" w:rsidR="00153292" w:rsidRPr="00962011" w:rsidRDefault="00DE22D6" w:rsidP="00FB2041">
            <w:pPr>
              <w:spacing w:before="180" w:after="180"/>
              <w:rPr>
                <w:lang w:val="en-NZ"/>
              </w:rPr>
            </w:pPr>
            <w:r>
              <w:rPr>
                <w:lang w:val="en-NZ"/>
              </w:rPr>
              <w:t>–</w:t>
            </w:r>
          </w:p>
        </w:tc>
      </w:tr>
      <w:tr w:rsidR="00254D9C" w:rsidRPr="00962011" w14:paraId="66524DC3" w14:textId="77777777" w:rsidTr="00401E9B">
        <w:trPr>
          <w:cantSplit/>
        </w:trPr>
        <w:tc>
          <w:tcPr>
            <w:tcW w:w="8906"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551" w:type="dxa"/>
            <w:shd w:val="clear" w:color="auto" w:fill="auto"/>
          </w:tcPr>
          <w:p w14:paraId="0FF987F9" w14:textId="7950DE3E" w:rsidR="00153292" w:rsidRPr="00962011" w:rsidRDefault="00DE22D6" w:rsidP="00FB2041">
            <w:pPr>
              <w:spacing w:before="180" w:after="180"/>
              <w:rPr>
                <w:b/>
                <w:bCs/>
                <w:lang w:val="en-NZ"/>
              </w:rPr>
            </w:pPr>
            <w:r>
              <w:rPr>
                <w:b/>
                <w:bCs/>
                <w:lang w:val="en-NZ"/>
              </w:rPr>
              <w:t>42</w:t>
            </w:r>
            <w:r w:rsidR="00153292" w:rsidRPr="00962011">
              <w:rPr>
                <w:b/>
                <w:bCs/>
                <w:lang w:val="en-NZ"/>
              </w:rPr>
              <w:t>3</w:t>
            </w:r>
          </w:p>
        </w:tc>
        <w:tc>
          <w:tcPr>
            <w:tcW w:w="2471" w:type="dxa"/>
            <w:shd w:val="clear" w:color="auto" w:fill="auto"/>
          </w:tcPr>
          <w:p w14:paraId="72E21526" w14:textId="50284B1D" w:rsidR="00153292" w:rsidRPr="00962011" w:rsidRDefault="00DE22D6" w:rsidP="00FB2041">
            <w:pPr>
              <w:spacing w:before="180" w:after="180"/>
              <w:rPr>
                <w:b/>
                <w:bCs/>
                <w:lang w:val="en-NZ"/>
              </w:rPr>
            </w:pPr>
            <w:r>
              <w:rPr>
                <w:b/>
                <w:bCs/>
                <w:lang w:val="en-NZ"/>
              </w:rPr>
              <w:t>445</w:t>
            </w:r>
          </w:p>
        </w:tc>
      </w:tr>
      <w:tr w:rsidR="00254D9C" w:rsidRPr="00962011" w14:paraId="0D814DB5" w14:textId="77777777" w:rsidTr="00401E9B">
        <w:trPr>
          <w:cantSplit/>
        </w:trPr>
        <w:tc>
          <w:tcPr>
            <w:tcW w:w="8906"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lastRenderedPageBreak/>
              <w:t>Net assets</w:t>
            </w:r>
          </w:p>
        </w:tc>
        <w:tc>
          <w:tcPr>
            <w:tcW w:w="2551" w:type="dxa"/>
            <w:shd w:val="clear" w:color="auto" w:fill="auto"/>
          </w:tcPr>
          <w:p w14:paraId="45001EF8" w14:textId="0190A22C" w:rsidR="00153292" w:rsidRPr="00962011" w:rsidRDefault="00594F3B" w:rsidP="00FB2041">
            <w:pPr>
              <w:spacing w:before="180" w:after="180"/>
              <w:rPr>
                <w:b/>
                <w:bCs/>
                <w:lang w:val="en-NZ"/>
              </w:rPr>
            </w:pPr>
            <w:r>
              <w:rPr>
                <w:b/>
                <w:bCs/>
                <w:lang w:val="en-NZ"/>
              </w:rPr>
              <w:t>3</w:t>
            </w:r>
            <w:r w:rsidR="00153292" w:rsidRPr="00962011">
              <w:rPr>
                <w:b/>
                <w:bCs/>
                <w:lang w:val="en-NZ"/>
              </w:rPr>
              <w:t>,</w:t>
            </w:r>
            <w:r>
              <w:rPr>
                <w:b/>
                <w:bCs/>
                <w:lang w:val="en-NZ"/>
              </w:rPr>
              <w:t>452</w:t>
            </w:r>
          </w:p>
        </w:tc>
        <w:tc>
          <w:tcPr>
            <w:tcW w:w="2471" w:type="dxa"/>
            <w:shd w:val="clear" w:color="auto" w:fill="auto"/>
          </w:tcPr>
          <w:p w14:paraId="30B0E656" w14:textId="6FAB0A24" w:rsidR="00153292" w:rsidRPr="00962011" w:rsidRDefault="00594F3B" w:rsidP="00FB2041">
            <w:pPr>
              <w:spacing w:before="180" w:after="180"/>
              <w:rPr>
                <w:b/>
                <w:bCs/>
                <w:lang w:val="en-NZ"/>
              </w:rPr>
            </w:pPr>
            <w:r>
              <w:rPr>
                <w:b/>
                <w:bCs/>
                <w:lang w:val="en-NZ"/>
              </w:rPr>
              <w:t>3</w:t>
            </w:r>
            <w:r w:rsidR="00153292" w:rsidRPr="00962011">
              <w:rPr>
                <w:b/>
                <w:bCs/>
                <w:lang w:val="en-NZ"/>
              </w:rPr>
              <w:t>,</w:t>
            </w:r>
            <w:r>
              <w:rPr>
                <w:b/>
                <w:bCs/>
                <w:lang w:val="en-NZ"/>
              </w:rPr>
              <w:t>549</w:t>
            </w:r>
          </w:p>
        </w:tc>
      </w:tr>
      <w:tr w:rsidR="00254D9C" w:rsidRPr="00962011" w14:paraId="729429D9" w14:textId="77777777" w:rsidTr="00401E9B">
        <w:trPr>
          <w:cantSplit/>
        </w:trPr>
        <w:tc>
          <w:tcPr>
            <w:tcW w:w="8906"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t>Represented by:</w:t>
            </w:r>
            <w:r w:rsidRPr="00962011">
              <w:rPr>
                <w:b/>
                <w:bCs/>
                <w:lang w:val="en-NZ"/>
              </w:rPr>
              <w:br/>
            </w:r>
            <w:r w:rsidR="00153292" w:rsidRPr="00962011">
              <w:rPr>
                <w:b/>
                <w:bCs/>
                <w:lang w:val="en-NZ"/>
              </w:rPr>
              <w:t>Society funds</w:t>
            </w:r>
          </w:p>
        </w:tc>
        <w:tc>
          <w:tcPr>
            <w:tcW w:w="2551" w:type="dxa"/>
            <w:shd w:val="clear" w:color="auto" w:fill="auto"/>
          </w:tcPr>
          <w:p w14:paraId="1C397285" w14:textId="6F443AAD" w:rsidR="00153292" w:rsidRPr="00962011" w:rsidRDefault="00594F3B" w:rsidP="00FB2041">
            <w:pPr>
              <w:spacing w:before="180" w:after="180"/>
              <w:rPr>
                <w:b/>
                <w:bCs/>
                <w:lang w:val="en-NZ"/>
              </w:rPr>
            </w:pPr>
            <w:r>
              <w:rPr>
                <w:b/>
                <w:bCs/>
                <w:lang w:val="en-NZ"/>
              </w:rPr>
              <w:t>3</w:t>
            </w:r>
            <w:r w:rsidRPr="00962011">
              <w:rPr>
                <w:b/>
                <w:bCs/>
                <w:lang w:val="en-NZ"/>
              </w:rPr>
              <w:t>,</w:t>
            </w:r>
            <w:r>
              <w:rPr>
                <w:b/>
                <w:bCs/>
                <w:lang w:val="en-NZ"/>
              </w:rPr>
              <w:t>452</w:t>
            </w:r>
          </w:p>
        </w:tc>
        <w:tc>
          <w:tcPr>
            <w:tcW w:w="2471" w:type="dxa"/>
            <w:shd w:val="clear" w:color="auto" w:fill="auto"/>
          </w:tcPr>
          <w:p w14:paraId="62EB2916" w14:textId="168D9D56" w:rsidR="00153292" w:rsidRPr="00962011" w:rsidRDefault="00594F3B" w:rsidP="00FB2041">
            <w:pPr>
              <w:spacing w:before="180" w:after="180"/>
              <w:rPr>
                <w:b/>
                <w:bCs/>
                <w:lang w:val="en-NZ"/>
              </w:rPr>
            </w:pPr>
            <w:r>
              <w:rPr>
                <w:b/>
                <w:bCs/>
                <w:lang w:val="en-NZ"/>
              </w:rPr>
              <w:t>3</w:t>
            </w:r>
            <w:r w:rsidRPr="00962011">
              <w:rPr>
                <w:b/>
                <w:bCs/>
                <w:lang w:val="en-NZ"/>
              </w:rPr>
              <w:t>,</w:t>
            </w:r>
            <w:r>
              <w:rPr>
                <w:b/>
                <w:bCs/>
                <w:lang w:val="en-NZ"/>
              </w:rPr>
              <w:t>549</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26" w:name="Title_4"/>
            <w:bookmarkEnd w:id="26"/>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094ABC1B" w:rsidR="00153292" w:rsidRPr="00962011" w:rsidRDefault="00594F3B" w:rsidP="00C71283">
            <w:pPr>
              <w:spacing w:before="180" w:after="180"/>
              <w:rPr>
                <w:lang w:val="en-NZ"/>
              </w:rPr>
            </w:pPr>
            <w:r>
              <w:rPr>
                <w:lang w:val="en-NZ"/>
              </w:rPr>
              <w:t>224</w:t>
            </w:r>
          </w:p>
        </w:tc>
        <w:tc>
          <w:tcPr>
            <w:tcW w:w="2506" w:type="dxa"/>
            <w:shd w:val="clear" w:color="auto" w:fill="auto"/>
          </w:tcPr>
          <w:p w14:paraId="30C9245C" w14:textId="184B81B4" w:rsidR="00153292" w:rsidRPr="00962011" w:rsidRDefault="00594F3B" w:rsidP="00C71283">
            <w:pPr>
              <w:spacing w:before="180" w:after="180"/>
              <w:rPr>
                <w:lang w:val="en-NZ"/>
              </w:rPr>
            </w:pPr>
            <w:r>
              <w:rPr>
                <w:lang w:val="en-NZ"/>
              </w:rPr>
              <w:t>(62)</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3678D0AC" w:rsidR="00153292" w:rsidRPr="00962011" w:rsidRDefault="00594F3B" w:rsidP="00C71283">
            <w:pPr>
              <w:spacing w:before="180" w:after="180"/>
              <w:rPr>
                <w:lang w:val="en-NZ"/>
              </w:rPr>
            </w:pPr>
            <w:r>
              <w:rPr>
                <w:lang w:val="en-NZ"/>
              </w:rPr>
              <w:t>(50)</w:t>
            </w:r>
          </w:p>
        </w:tc>
        <w:tc>
          <w:tcPr>
            <w:tcW w:w="2506" w:type="dxa"/>
            <w:shd w:val="clear" w:color="auto" w:fill="auto"/>
          </w:tcPr>
          <w:p w14:paraId="5EDE3CE2" w14:textId="0529104C" w:rsidR="00153292" w:rsidRPr="00962011" w:rsidRDefault="00153292" w:rsidP="00C71283">
            <w:pPr>
              <w:spacing w:before="180" w:after="180"/>
              <w:rPr>
                <w:lang w:val="en-NZ"/>
              </w:rPr>
            </w:pPr>
            <w:r w:rsidRPr="00962011">
              <w:rPr>
                <w:lang w:val="en-NZ"/>
              </w:rPr>
              <w:t>(</w:t>
            </w:r>
            <w:r w:rsidR="00594F3B">
              <w:rPr>
                <w:lang w:val="en-NZ"/>
              </w:rPr>
              <w:t>54</w:t>
            </w:r>
            <w:r w:rsidRPr="00962011">
              <w:rPr>
                <w:lang w:val="en-NZ"/>
              </w:rPr>
              <w:t>)</w:t>
            </w:r>
          </w:p>
        </w:tc>
      </w:tr>
      <w:tr w:rsidR="00C71283" w:rsidRPr="00962011" w14:paraId="68296C5D" w14:textId="77777777" w:rsidTr="00C71283">
        <w:trPr>
          <w:cantSplit/>
        </w:trPr>
        <w:tc>
          <w:tcPr>
            <w:tcW w:w="8593" w:type="dxa"/>
            <w:shd w:val="clear" w:color="auto" w:fill="auto"/>
          </w:tcPr>
          <w:p w14:paraId="408C1EA6" w14:textId="77777777" w:rsidR="00153292" w:rsidRPr="00962011" w:rsidRDefault="00153292" w:rsidP="00C71283">
            <w:pPr>
              <w:spacing w:before="180" w:after="180"/>
              <w:rPr>
                <w:lang w:val="en-NZ"/>
              </w:rPr>
            </w:pPr>
            <w:r w:rsidRPr="00962011">
              <w:rPr>
                <w:lang w:val="en-NZ"/>
              </w:rPr>
              <w:t>Cash flows from financing activities</w:t>
            </w:r>
          </w:p>
        </w:tc>
        <w:tc>
          <w:tcPr>
            <w:tcW w:w="2829" w:type="dxa"/>
            <w:shd w:val="clear" w:color="auto" w:fill="auto"/>
          </w:tcPr>
          <w:p w14:paraId="5A80A4A3" w14:textId="5A3E5278" w:rsidR="00153292" w:rsidRPr="00962011" w:rsidRDefault="00594F3B" w:rsidP="00C71283">
            <w:pPr>
              <w:spacing w:before="180" w:after="180"/>
              <w:rPr>
                <w:lang w:val="en-NZ"/>
              </w:rPr>
            </w:pPr>
            <w:r>
              <w:rPr>
                <w:lang w:val="en-NZ"/>
              </w:rPr>
              <w:t>–</w:t>
            </w:r>
          </w:p>
        </w:tc>
        <w:tc>
          <w:tcPr>
            <w:tcW w:w="2506" w:type="dxa"/>
            <w:shd w:val="clear" w:color="auto" w:fill="auto"/>
          </w:tcPr>
          <w:p w14:paraId="1438F55B" w14:textId="36B2F29E" w:rsidR="00153292" w:rsidRPr="00962011" w:rsidRDefault="00594F3B" w:rsidP="00C71283">
            <w:pPr>
              <w:spacing w:before="180" w:after="180"/>
              <w:rPr>
                <w:lang w:val="en-NZ"/>
              </w:rPr>
            </w:pPr>
            <w:r>
              <w:rPr>
                <w:lang w:val="en-NZ"/>
              </w:rPr>
              <w:t>–</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12FAD88F" w:rsidR="00153292" w:rsidRPr="00962011" w:rsidRDefault="00922E84" w:rsidP="00C71283">
            <w:pPr>
              <w:spacing w:before="180" w:after="180"/>
              <w:rPr>
                <w:lang w:val="en-NZ"/>
              </w:rPr>
            </w:pPr>
            <w:r>
              <w:rPr>
                <w:lang w:val="en-NZ"/>
              </w:rPr>
              <w:t>216</w:t>
            </w:r>
          </w:p>
        </w:tc>
        <w:tc>
          <w:tcPr>
            <w:tcW w:w="2506" w:type="dxa"/>
            <w:shd w:val="clear" w:color="auto" w:fill="auto"/>
          </w:tcPr>
          <w:p w14:paraId="522911A5" w14:textId="13382517" w:rsidR="00153292" w:rsidRPr="00962011" w:rsidRDefault="00922E84" w:rsidP="00C71283">
            <w:pPr>
              <w:spacing w:before="180" w:after="180"/>
              <w:rPr>
                <w:lang w:val="en-NZ"/>
              </w:rPr>
            </w:pPr>
            <w:r>
              <w:rPr>
                <w:lang w:val="en-NZ"/>
              </w:rPr>
              <w:t>332</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06BBF56F" w:rsidR="00153292" w:rsidRPr="00962011" w:rsidRDefault="00922E84" w:rsidP="00C71283">
            <w:pPr>
              <w:spacing w:before="180" w:after="180"/>
              <w:rPr>
                <w:b/>
                <w:bCs/>
                <w:lang w:val="en-NZ"/>
              </w:rPr>
            </w:pPr>
            <w:r>
              <w:rPr>
                <w:b/>
                <w:bCs/>
                <w:lang w:val="en-NZ"/>
              </w:rPr>
              <w:t>390</w:t>
            </w:r>
          </w:p>
        </w:tc>
        <w:tc>
          <w:tcPr>
            <w:tcW w:w="2506" w:type="dxa"/>
            <w:shd w:val="clear" w:color="auto" w:fill="auto"/>
          </w:tcPr>
          <w:p w14:paraId="5FDD6B44" w14:textId="442DEA16" w:rsidR="00153292" w:rsidRPr="00962011" w:rsidRDefault="00922E84" w:rsidP="00C71283">
            <w:pPr>
              <w:spacing w:before="180" w:after="180"/>
              <w:rPr>
                <w:b/>
                <w:bCs/>
                <w:lang w:val="en-NZ"/>
              </w:rPr>
            </w:pPr>
            <w:r>
              <w:rPr>
                <w:b/>
                <w:bCs/>
                <w:lang w:val="en-NZ"/>
              </w:rPr>
              <w:t>216</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56015975" w:rsidR="00CC6237" w:rsidRPr="00EE6DCA" w:rsidRDefault="00CC6237" w:rsidP="00E60619">
      <w:pPr>
        <w:pStyle w:val="Heading2"/>
        <w:rPr>
          <w:lang w:val="en-NZ"/>
        </w:rPr>
      </w:pPr>
      <w:r w:rsidRPr="00EE6DCA">
        <w:rPr>
          <w:lang w:val="en-NZ"/>
        </w:rPr>
        <w:lastRenderedPageBreak/>
        <w:t xml:space="preserve">Notes to the financial summary of CCS Disability Action </w:t>
      </w:r>
      <w:r w:rsidR="00E60619" w:rsidRPr="002F5CA0">
        <w:rPr>
          <w:lang w:val="mi-NZ"/>
        </w:rPr>
        <w:t>Manawatū/Horowhenua</w:t>
      </w:r>
      <w:r w:rsidRPr="00EE6DCA">
        <w:rPr>
          <w:lang w:val="en-NZ"/>
        </w:rPr>
        <w:t xml:space="preserve"> Incorporated</w:t>
      </w:r>
    </w:p>
    <w:p w14:paraId="7E89443C" w14:textId="7774AEF6" w:rsidR="00CC6237" w:rsidRPr="00962011" w:rsidRDefault="00CC6237" w:rsidP="008B1854">
      <w:pPr>
        <w:rPr>
          <w:lang w:val="en-NZ"/>
        </w:rPr>
      </w:pPr>
      <w:r w:rsidRPr="00962011">
        <w:rPr>
          <w:lang w:val="en-NZ"/>
        </w:rPr>
        <w:t xml:space="preserve">A summary of the CCS Disability Action </w:t>
      </w:r>
      <w:r w:rsidR="008B1854" w:rsidRPr="008B1854">
        <w:rPr>
          <w:lang w:val="mi-NZ"/>
        </w:rPr>
        <w:t>Manawatū/Horowhenua</w:t>
      </w:r>
      <w:r w:rsidRPr="00962011">
        <w:rPr>
          <w:lang w:val="en-NZ"/>
        </w:rPr>
        <w:t xml:space="preserve">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46179CF5" w14:textId="4E15D9BB" w:rsidR="00CC6237" w:rsidRPr="00962011" w:rsidRDefault="00CC6237" w:rsidP="00CC6237">
      <w:pPr>
        <w:rPr>
          <w:lang w:val="en-NZ"/>
        </w:rPr>
      </w:pPr>
      <w:r w:rsidRPr="00962011">
        <w:rPr>
          <w:lang w:val="en-NZ"/>
        </w:rPr>
        <w:t>The full financial statements have been prepared in accordance with Tier 2 PBE Accounting Standards as issued by the New Zealand External Reporting Board. The summary financial statements are presented in New Zealand dollars.</w:t>
      </w:r>
    </w:p>
    <w:p w14:paraId="341A3B54" w14:textId="28FC9D45" w:rsidR="00CC6237" w:rsidRPr="00962011" w:rsidRDefault="00CC6237" w:rsidP="00CC6237">
      <w:pPr>
        <w:rPr>
          <w:lang w:val="en-NZ"/>
        </w:rPr>
      </w:pPr>
      <w:r w:rsidRPr="00962011">
        <w:rPr>
          <w:lang w:val="en-NZ"/>
        </w:rPr>
        <w:t xml:space="preserve">The amounts stated in these summary financial statements have been extracted from the full financial statements of the Society dated </w:t>
      </w:r>
      <w:r w:rsidR="00882E15">
        <w:rPr>
          <w:lang w:val="en-NZ"/>
        </w:rPr>
        <w:t>3</w:t>
      </w:r>
      <w:r w:rsidRPr="00962011">
        <w:rPr>
          <w:lang w:val="en-NZ"/>
        </w:rPr>
        <w:t xml:space="preserve"> November 2023.</w:t>
      </w:r>
    </w:p>
    <w:p w14:paraId="26D03A31" w14:textId="187F1664" w:rsidR="00882E15" w:rsidRDefault="00CC6237" w:rsidP="00882E15">
      <w:pPr>
        <w:rPr>
          <w:lang w:val="en-NZ"/>
        </w:rPr>
      </w:pPr>
      <w:r w:rsidRPr="00962011">
        <w:rPr>
          <w:lang w:val="en-NZ"/>
        </w:rPr>
        <w:lastRenderedPageBreak/>
        <w:t xml:space="preserve">Copies of these are available from the Society. This summary has been authorised by </w:t>
      </w:r>
      <w:r w:rsidR="00882E15" w:rsidRPr="00882E15">
        <w:rPr>
          <w:lang w:val="en-NZ"/>
        </w:rPr>
        <w:t>Janine Hoete-Thornton, general manager Central region on 3 November 2023 and has not been audited.</w:t>
      </w:r>
    </w:p>
    <w:p w14:paraId="194231BB" w14:textId="7F0CBD89" w:rsidR="00CC6237" w:rsidRPr="00962011" w:rsidRDefault="00CC6237" w:rsidP="00882E15">
      <w:pPr>
        <w:rPr>
          <w:lang w:val="en-NZ"/>
        </w:rPr>
      </w:pPr>
      <w:r w:rsidRPr="00962011">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21B62111" w:rsidR="00153292" w:rsidRPr="00962011" w:rsidRDefault="00CC6237" w:rsidP="00CC6237">
      <w:pPr>
        <w:rPr>
          <w:lang w:val="en-NZ"/>
        </w:rPr>
      </w:pPr>
      <w:r w:rsidRPr="00962011">
        <w:rPr>
          <w:lang w:val="en-NZ"/>
        </w:rPr>
        <w:t>The summarised financial statements should be read in conjunction with the statement of accounting policies and notes to the full unaudited financial statements.</w:t>
      </w:r>
    </w:p>
    <w:p w14:paraId="3F54C1DC" w14:textId="369E3F17" w:rsidR="009D678B" w:rsidRPr="00DF7F48" w:rsidRDefault="009D678B" w:rsidP="00CC6237">
      <w:pPr>
        <w:rPr>
          <w:lang w:val="en-NZ"/>
        </w:rPr>
      </w:pPr>
      <w:r w:rsidRPr="009D678B">
        <w:rPr>
          <w:b/>
          <w:bCs/>
          <w:lang w:val="en-NZ"/>
        </w:rPr>
        <w:t>Janine Hoete-Thornton</w:t>
      </w:r>
      <w:r>
        <w:rPr>
          <w:b/>
          <w:bCs/>
          <w:lang w:val="en-NZ"/>
        </w:rPr>
        <w:br/>
      </w:r>
      <w:r w:rsidRPr="00DF7F48">
        <w:rPr>
          <w:lang w:val="en-NZ"/>
        </w:rPr>
        <w:t>General manager</w:t>
      </w:r>
    </w:p>
    <w:p w14:paraId="76FBABFC" w14:textId="053634BD" w:rsidR="00CC6237" w:rsidRPr="00962011" w:rsidRDefault="009D678B" w:rsidP="009D678B">
      <w:pPr>
        <w:rPr>
          <w:lang w:val="en-NZ"/>
        </w:rPr>
      </w:pPr>
      <w:r w:rsidRPr="00DF7F48">
        <w:rPr>
          <w:b/>
          <w:bCs/>
          <w:lang w:val="en-NZ"/>
        </w:rPr>
        <w:t>David Matthews (QSO)</w:t>
      </w:r>
      <w:r w:rsidRPr="00DF7F48">
        <w:rPr>
          <w:b/>
          <w:bCs/>
          <w:lang w:val="en-NZ"/>
        </w:rPr>
        <w:br/>
      </w:r>
      <w:r w:rsidRPr="009D678B">
        <w:rPr>
          <w:lang w:val="en-NZ"/>
        </w:rPr>
        <w:t>Chair, local executive committee</w:t>
      </w:r>
    </w:p>
    <w:p w14:paraId="1EF173F8" w14:textId="77777777" w:rsidR="00401E9B" w:rsidRDefault="00CC6237" w:rsidP="003A5774">
      <w:pPr>
        <w:pStyle w:val="H1Maori"/>
      </w:pPr>
      <w:bookmarkStart w:id="27" w:name="_Toc156473606"/>
      <w:bookmarkStart w:id="28" w:name="_Toc156486823"/>
      <w:bookmarkStart w:id="29" w:name="_Toc157079043"/>
      <w:r w:rsidRPr="00962011">
        <w:lastRenderedPageBreak/>
        <w:t>Ō mātou kaitautoko</w:t>
      </w:r>
      <w:bookmarkEnd w:id="29"/>
    </w:p>
    <w:p w14:paraId="5743789B" w14:textId="2FFAA9BE" w:rsidR="00CC6237" w:rsidRPr="00962011" w:rsidRDefault="00CC6237" w:rsidP="007C3383">
      <w:pPr>
        <w:pStyle w:val="Heading1"/>
        <w:rPr>
          <w:lang w:val="en-NZ"/>
        </w:rPr>
      </w:pPr>
      <w:bookmarkStart w:id="30" w:name="_Toc157079044"/>
      <w:r w:rsidRPr="00962011">
        <w:rPr>
          <w:lang w:val="en-NZ"/>
        </w:rPr>
        <w:t>Our supporters</w:t>
      </w:r>
      <w:bookmarkEnd w:id="27"/>
      <w:bookmarkEnd w:id="28"/>
      <w:bookmarkEnd w:id="30"/>
    </w:p>
    <w:p w14:paraId="043ED76D" w14:textId="6D2C0D2B" w:rsidR="00CC6237" w:rsidRPr="00962011" w:rsidRDefault="00CC6237" w:rsidP="00CC6237">
      <w:pPr>
        <w:rPr>
          <w:sz w:val="40"/>
          <w:szCs w:val="40"/>
          <w:lang w:val="en-NZ"/>
        </w:rPr>
      </w:pPr>
      <w:r w:rsidRPr="00962011">
        <w:rPr>
          <w:sz w:val="40"/>
          <w:szCs w:val="40"/>
          <w:lang w:val="en-NZ"/>
        </w:rPr>
        <w:t xml:space="preserve">CCS Disability Action </w:t>
      </w:r>
      <w:r w:rsidR="00A20C25" w:rsidRPr="00A20C25">
        <w:rPr>
          <w:sz w:val="40"/>
          <w:szCs w:val="40"/>
          <w:lang w:val="mi-NZ"/>
        </w:rPr>
        <w:t>Manawatū/Horowhenua</w:t>
      </w:r>
      <w:r w:rsidRPr="00962011">
        <w:rPr>
          <w:sz w:val="40"/>
          <w:szCs w:val="40"/>
          <w:lang w:val="en-NZ"/>
        </w:rPr>
        <w:t xml:space="preserve"> 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3169AF2D" w14:textId="270AE18E" w:rsidR="00CC6237" w:rsidRPr="00962011" w:rsidRDefault="00CC6237" w:rsidP="00602E4B">
      <w:pPr>
        <w:pStyle w:val="ListParagraph"/>
        <w:numPr>
          <w:ilvl w:val="0"/>
          <w:numId w:val="10"/>
        </w:numPr>
        <w:rPr>
          <w:lang w:val="en-NZ"/>
        </w:rPr>
      </w:pPr>
      <w:r w:rsidRPr="00962011">
        <w:rPr>
          <w:lang w:val="en-NZ"/>
        </w:rPr>
        <w:t>Accident Compensation Commission</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3D537718" w14:textId="338B6FF7" w:rsidR="00CC6237" w:rsidRPr="00962011" w:rsidRDefault="00CC6237" w:rsidP="00602E4B">
      <w:pPr>
        <w:pStyle w:val="ListParagraph"/>
        <w:numPr>
          <w:ilvl w:val="0"/>
          <w:numId w:val="10"/>
        </w:numPr>
        <w:rPr>
          <w:lang w:val="en-NZ"/>
        </w:rPr>
      </w:pPr>
      <w:r w:rsidRPr="00621870">
        <w:rPr>
          <w:lang w:val="mi-NZ"/>
        </w:rPr>
        <w:t>Oranga Tamariki</w:t>
      </w:r>
      <w:r w:rsidRPr="00962011">
        <w:rPr>
          <w:lang w:val="en-NZ"/>
        </w:rPr>
        <w:t xml:space="preserve"> - Ministry for Children</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728BE055" w14:textId="33273AA5" w:rsidR="00CC6237" w:rsidRPr="00962011" w:rsidRDefault="00CC6237" w:rsidP="002414E1">
      <w:pPr>
        <w:pStyle w:val="Heading2"/>
        <w:rPr>
          <w:lang w:val="en-NZ"/>
        </w:rPr>
      </w:pPr>
      <w:r w:rsidRPr="00962011">
        <w:rPr>
          <w:lang w:val="en-NZ"/>
        </w:rPr>
        <w:t>Bequests</w:t>
      </w:r>
    </w:p>
    <w:p w14:paraId="620BA22B" w14:textId="46FE6453" w:rsidR="00DF7F48" w:rsidRPr="00DF7F48" w:rsidRDefault="00DF7F48" w:rsidP="00DF7F48">
      <w:pPr>
        <w:pStyle w:val="ListParagraph"/>
        <w:numPr>
          <w:ilvl w:val="0"/>
          <w:numId w:val="11"/>
        </w:numPr>
        <w:rPr>
          <w:lang w:val="en-NZ"/>
        </w:rPr>
      </w:pPr>
      <w:r w:rsidRPr="00DF7F48">
        <w:rPr>
          <w:lang w:val="en-NZ"/>
        </w:rPr>
        <w:t>W G Johnston Charitable Trust</w:t>
      </w:r>
    </w:p>
    <w:p w14:paraId="03018DF5" w14:textId="5B4DA786" w:rsidR="00CC6237" w:rsidRPr="00962011" w:rsidRDefault="00DF7F48" w:rsidP="00DF7F48">
      <w:pPr>
        <w:pStyle w:val="ListParagraph"/>
        <w:numPr>
          <w:ilvl w:val="0"/>
          <w:numId w:val="11"/>
        </w:numPr>
        <w:rPr>
          <w:lang w:val="en-NZ"/>
        </w:rPr>
      </w:pPr>
      <w:r w:rsidRPr="00DF7F48">
        <w:rPr>
          <w:lang w:val="en-NZ"/>
        </w:rPr>
        <w:t>William H Baker Estate</w:t>
      </w:r>
    </w:p>
    <w:p w14:paraId="525E83A4" w14:textId="7E57DA4B" w:rsidR="00CC6237" w:rsidRPr="00962011" w:rsidRDefault="00CC6237" w:rsidP="002414E1">
      <w:pPr>
        <w:pStyle w:val="Heading2"/>
        <w:rPr>
          <w:lang w:val="en-NZ"/>
        </w:rPr>
      </w:pPr>
      <w:r w:rsidRPr="00962011">
        <w:rPr>
          <w:lang w:val="en-NZ"/>
        </w:rPr>
        <w:lastRenderedPageBreak/>
        <w:t>Trusts and foundations</w:t>
      </w:r>
    </w:p>
    <w:p w14:paraId="2B46BF9B" w14:textId="5F6C167D" w:rsidR="00CF681B" w:rsidRPr="00CF681B" w:rsidRDefault="00CF681B" w:rsidP="00CF681B">
      <w:pPr>
        <w:pStyle w:val="ListParagraph"/>
        <w:numPr>
          <w:ilvl w:val="0"/>
          <w:numId w:val="12"/>
        </w:numPr>
        <w:rPr>
          <w:lang w:val="en-NZ"/>
        </w:rPr>
      </w:pPr>
      <w:r w:rsidRPr="00CF681B">
        <w:rPr>
          <w:lang w:val="en-NZ"/>
        </w:rPr>
        <w:t>Eastern and Central Community Trust</w:t>
      </w:r>
    </w:p>
    <w:p w14:paraId="543165FD" w14:textId="4AF4DB59" w:rsidR="00CF681B" w:rsidRPr="00CF681B" w:rsidRDefault="00CF681B" w:rsidP="00CF681B">
      <w:pPr>
        <w:pStyle w:val="ListParagraph"/>
        <w:numPr>
          <w:ilvl w:val="0"/>
          <w:numId w:val="12"/>
        </w:numPr>
        <w:rPr>
          <w:lang w:val="en-NZ"/>
        </w:rPr>
      </w:pPr>
      <w:r w:rsidRPr="00CF681B">
        <w:rPr>
          <w:lang w:val="en-NZ"/>
        </w:rPr>
        <w:t>Grassroots Trust Central</w:t>
      </w:r>
    </w:p>
    <w:p w14:paraId="6609700B" w14:textId="77777777" w:rsidR="00CD46DB" w:rsidRDefault="00CF681B" w:rsidP="00CF681B">
      <w:pPr>
        <w:pStyle w:val="ListParagraph"/>
        <w:numPr>
          <w:ilvl w:val="0"/>
          <w:numId w:val="12"/>
        </w:numPr>
        <w:rPr>
          <w:lang w:val="en-NZ"/>
        </w:rPr>
      </w:pPr>
      <w:r w:rsidRPr="00DE3C61">
        <w:rPr>
          <w:lang w:val="en-NZ"/>
        </w:rPr>
        <w:t>NZ Lottery Grants Board,</w:t>
      </w:r>
      <w:r w:rsidR="00DE3C61" w:rsidRPr="00DE3C61">
        <w:rPr>
          <w:lang w:val="en-NZ"/>
        </w:rPr>
        <w:t xml:space="preserve"> </w:t>
      </w:r>
    </w:p>
    <w:p w14:paraId="73FF6EBF" w14:textId="2C662796" w:rsidR="00CF681B" w:rsidRPr="00DE3C61" w:rsidRDefault="00CF681B" w:rsidP="00CD46DB">
      <w:pPr>
        <w:pStyle w:val="ListParagraph"/>
        <w:rPr>
          <w:lang w:val="en-NZ"/>
        </w:rPr>
      </w:pPr>
      <w:r w:rsidRPr="00DE3C61">
        <w:rPr>
          <w:lang w:val="en-NZ"/>
        </w:rPr>
        <w:t>$20,000.00 operating costs</w:t>
      </w:r>
    </w:p>
    <w:p w14:paraId="294880E9" w14:textId="4FAAB0A4" w:rsidR="00CF681B" w:rsidRPr="00CF681B" w:rsidRDefault="00CF681B" w:rsidP="00CF681B">
      <w:pPr>
        <w:pStyle w:val="ListParagraph"/>
        <w:numPr>
          <w:ilvl w:val="0"/>
          <w:numId w:val="12"/>
        </w:numPr>
        <w:rPr>
          <w:lang w:val="en-NZ"/>
        </w:rPr>
      </w:pPr>
      <w:r w:rsidRPr="00CF681B">
        <w:rPr>
          <w:lang w:val="en-NZ"/>
        </w:rPr>
        <w:t>Mainland Foundation</w:t>
      </w:r>
    </w:p>
    <w:p w14:paraId="5D86374B" w14:textId="3F99E5EB" w:rsidR="00CF681B" w:rsidRPr="00CF681B" w:rsidRDefault="00CF681B" w:rsidP="00CF681B">
      <w:pPr>
        <w:pStyle w:val="ListParagraph"/>
        <w:numPr>
          <w:ilvl w:val="0"/>
          <w:numId w:val="12"/>
        </w:numPr>
        <w:rPr>
          <w:lang w:val="en-NZ"/>
        </w:rPr>
      </w:pPr>
      <w:r w:rsidRPr="00CF681B">
        <w:rPr>
          <w:lang w:val="en-NZ"/>
        </w:rPr>
        <w:t>Pub Charity</w:t>
      </w:r>
    </w:p>
    <w:p w14:paraId="0104317C" w14:textId="0544D6D2" w:rsidR="00CF681B" w:rsidRPr="00CF681B" w:rsidRDefault="00CF681B" w:rsidP="00CF681B">
      <w:pPr>
        <w:pStyle w:val="ListParagraph"/>
        <w:numPr>
          <w:ilvl w:val="0"/>
          <w:numId w:val="12"/>
        </w:numPr>
        <w:rPr>
          <w:lang w:val="en-NZ"/>
        </w:rPr>
      </w:pPr>
      <w:r w:rsidRPr="00CF681B">
        <w:rPr>
          <w:lang w:val="en-NZ"/>
        </w:rPr>
        <w:t>TG Macarthy Trust</w:t>
      </w:r>
    </w:p>
    <w:p w14:paraId="0B5E7D2A" w14:textId="28D5680A" w:rsidR="00CC6237" w:rsidRPr="00962011" w:rsidRDefault="00CF681B" w:rsidP="00CF681B">
      <w:pPr>
        <w:pStyle w:val="ListParagraph"/>
        <w:numPr>
          <w:ilvl w:val="0"/>
          <w:numId w:val="12"/>
        </w:numPr>
        <w:rPr>
          <w:lang w:val="en-NZ"/>
        </w:rPr>
      </w:pPr>
      <w:r w:rsidRPr="00CF681B">
        <w:rPr>
          <w:lang w:val="en-NZ"/>
        </w:rPr>
        <w:t>The Lion Foundation</w:t>
      </w:r>
    </w:p>
    <w:p w14:paraId="4FA715FA" w14:textId="1E050E11" w:rsidR="00CC6237" w:rsidRPr="00962011" w:rsidRDefault="00CC6237" w:rsidP="00B6060B">
      <w:pPr>
        <w:pStyle w:val="Heading2"/>
        <w:rPr>
          <w:lang w:val="en-NZ"/>
        </w:rPr>
      </w:pPr>
      <w:r w:rsidRPr="00962011">
        <w:rPr>
          <w:lang w:val="en-NZ"/>
        </w:rPr>
        <w:t>Major donor</w:t>
      </w:r>
    </w:p>
    <w:p w14:paraId="4EAD7F2D" w14:textId="5B68C8F3" w:rsidR="00CC6237" w:rsidRPr="00962011" w:rsidRDefault="00CD46DB" w:rsidP="007B73FA">
      <w:pPr>
        <w:pStyle w:val="ListParagraph"/>
        <w:numPr>
          <w:ilvl w:val="0"/>
          <w:numId w:val="14"/>
        </w:numPr>
        <w:rPr>
          <w:lang w:val="en-NZ"/>
        </w:rPr>
      </w:pPr>
      <w:r w:rsidRPr="00CD46DB">
        <w:rPr>
          <w:lang w:val="en-NZ"/>
        </w:rPr>
        <w:t>Wendy Cawood</w:t>
      </w:r>
    </w:p>
    <w:p w14:paraId="10A5953A" w14:textId="66110793" w:rsidR="00CC6237" w:rsidRPr="00962011" w:rsidRDefault="00CC6237" w:rsidP="007B73FA">
      <w:pPr>
        <w:pStyle w:val="Heading3"/>
        <w:rPr>
          <w:lang w:val="en-NZ"/>
        </w:rPr>
      </w:pPr>
      <w:r w:rsidRPr="00962011">
        <w:rPr>
          <w:lang w:val="en-NZ"/>
        </w:rPr>
        <w:t>Donations received</w:t>
      </w:r>
    </w:p>
    <w:p w14:paraId="365C6DAA" w14:textId="7A32AC21" w:rsidR="00CC6237" w:rsidRPr="00962011" w:rsidRDefault="00CC6237" w:rsidP="00CC6237">
      <w:pPr>
        <w:rPr>
          <w:b/>
          <w:bCs/>
          <w:lang w:val="en-NZ"/>
        </w:rPr>
      </w:pPr>
      <w:r w:rsidRPr="00962011">
        <w:rPr>
          <w:lang w:val="en-NZ"/>
        </w:rPr>
        <w:t xml:space="preserve">Last year: </w:t>
      </w:r>
      <w:r w:rsidR="00BE2ABE">
        <w:rPr>
          <w:b/>
          <w:bCs/>
          <w:lang w:val="en-NZ"/>
        </w:rPr>
        <w:t>169</w:t>
      </w:r>
    </w:p>
    <w:p w14:paraId="1B6D3AB9" w14:textId="173E8F12" w:rsidR="00CC6237" w:rsidRPr="00962011" w:rsidRDefault="00CC6237" w:rsidP="00CC6237">
      <w:pPr>
        <w:rPr>
          <w:lang w:val="en-NZ"/>
        </w:rPr>
      </w:pPr>
      <w:r w:rsidRPr="00962011">
        <w:rPr>
          <w:lang w:val="en-NZ"/>
        </w:rPr>
        <w:t xml:space="preserve">This year: </w:t>
      </w:r>
      <w:r w:rsidR="00BE2ABE">
        <w:rPr>
          <w:b/>
          <w:bCs/>
          <w:lang w:val="en-NZ"/>
        </w:rPr>
        <w:t>179</w:t>
      </w:r>
    </w:p>
    <w:p w14:paraId="690817F6" w14:textId="77777777" w:rsidR="00401E9B" w:rsidRDefault="00CC6237" w:rsidP="00467F4C">
      <w:pPr>
        <w:pStyle w:val="H2Maori"/>
      </w:pPr>
      <w:r w:rsidRPr="00962011">
        <w:lastRenderedPageBreak/>
        <w:t>Whakapā mai</w:t>
      </w:r>
    </w:p>
    <w:p w14:paraId="051F18AB" w14:textId="768C2071" w:rsidR="00CC6237" w:rsidRPr="00962011" w:rsidRDefault="00CC6237" w:rsidP="007B73FA">
      <w:pPr>
        <w:pStyle w:val="Heading2"/>
        <w:rPr>
          <w:lang w:val="en-NZ"/>
        </w:rPr>
      </w:pPr>
      <w:r w:rsidRPr="00962011">
        <w:rPr>
          <w:lang w:val="en-NZ"/>
        </w:rPr>
        <w:t>Get in touch</w:t>
      </w:r>
    </w:p>
    <w:p w14:paraId="16CC8EEB" w14:textId="3E18DDF4" w:rsidR="0080671C" w:rsidRPr="0091039B" w:rsidRDefault="0091039B" w:rsidP="00634B06">
      <w:pPr>
        <w:contextualSpacing/>
        <w:rPr>
          <w:b/>
          <w:bCs/>
          <w:lang w:val="mi-NZ"/>
        </w:rPr>
      </w:pPr>
      <w:r w:rsidRPr="0091039B">
        <w:rPr>
          <w:b/>
          <w:bCs/>
          <w:lang w:val="mi-NZ"/>
        </w:rPr>
        <w:t>Manawatū/Horowhenua</w:t>
      </w:r>
    </w:p>
    <w:p w14:paraId="38B745B3" w14:textId="08B1D840" w:rsidR="00CC6237" w:rsidRPr="00962011" w:rsidRDefault="00A556EC" w:rsidP="00634B06">
      <w:pPr>
        <w:contextualSpacing/>
        <w:rPr>
          <w:lang w:val="en-NZ"/>
        </w:rPr>
      </w:pPr>
      <w:r w:rsidRPr="00962011">
        <w:rPr>
          <w:lang w:val="en-NZ"/>
        </w:rPr>
        <w:t xml:space="preserve">Phone: </w:t>
      </w:r>
      <w:r w:rsidR="0091039B" w:rsidRPr="0091039B">
        <w:rPr>
          <w:lang w:val="en-NZ"/>
        </w:rPr>
        <w:t>(06) 357 2119 or 0800 227 2255</w:t>
      </w:r>
    </w:p>
    <w:p w14:paraId="69F9B1BA" w14:textId="536FAA44" w:rsidR="00CC6237" w:rsidRPr="00962011" w:rsidRDefault="00A556EC" w:rsidP="00634B06">
      <w:pPr>
        <w:contextualSpacing/>
        <w:rPr>
          <w:lang w:val="en-NZ"/>
        </w:rPr>
      </w:pPr>
      <w:r w:rsidRPr="00962011">
        <w:rPr>
          <w:lang w:val="en-NZ"/>
        </w:rPr>
        <w:t xml:space="preserve">Address: </w:t>
      </w:r>
      <w:r w:rsidR="0091039B" w:rsidRPr="0091039B">
        <w:rPr>
          <w:lang w:val="en-NZ"/>
        </w:rPr>
        <w:t>248 Broadway Avenue, Palmerston North 4414</w:t>
      </w:r>
    </w:p>
    <w:p w14:paraId="619EAEC7" w14:textId="5A1709F2" w:rsidR="00CC6237" w:rsidRPr="00962011" w:rsidRDefault="00A556EC" w:rsidP="00634B06">
      <w:pPr>
        <w:contextualSpacing/>
        <w:rPr>
          <w:lang w:val="en-NZ"/>
        </w:rPr>
      </w:pPr>
      <w:r w:rsidRPr="00962011">
        <w:rPr>
          <w:lang w:val="en-NZ"/>
        </w:rPr>
        <w:t xml:space="preserve">Post: </w:t>
      </w:r>
      <w:r w:rsidR="0091039B" w:rsidRPr="0091039B">
        <w:rPr>
          <w:lang w:val="en-NZ"/>
        </w:rPr>
        <w:t>PO Box 143, Palmerston North 4440</w:t>
      </w:r>
    </w:p>
    <w:p w14:paraId="5412A016" w14:textId="1549B8C6" w:rsidR="00CC6237" w:rsidRDefault="005402C3" w:rsidP="00634B06">
      <w:pPr>
        <w:contextualSpacing/>
        <w:rPr>
          <w:lang w:val="en-NZ"/>
        </w:rPr>
      </w:pPr>
      <w:r w:rsidRPr="00962011">
        <w:rPr>
          <w:lang w:val="en-NZ"/>
        </w:rPr>
        <w:t>Email</w:t>
      </w:r>
      <w:r w:rsidR="00A556EC" w:rsidRPr="00962011">
        <w:rPr>
          <w:lang w:val="en-NZ"/>
        </w:rPr>
        <w:t xml:space="preserve">: </w:t>
      </w:r>
      <w:hyperlink r:id="rId9" w:history="1">
        <w:r w:rsidR="0091039B" w:rsidRPr="0091039B">
          <w:rPr>
            <w:rStyle w:val="Hyperlink"/>
            <w:b/>
            <w:bCs/>
            <w:color w:val="auto"/>
            <w:u w:val="none"/>
            <w:lang w:val="en-NZ"/>
          </w:rPr>
          <w:t>Manawatu@ccsDisabilityAction.org.nz</w:t>
        </w:r>
      </w:hyperlink>
    </w:p>
    <w:p w14:paraId="2072B02E" w14:textId="2EA114D0" w:rsidR="00CC6237" w:rsidRPr="00962011" w:rsidRDefault="00A556EC" w:rsidP="00634B06">
      <w:pPr>
        <w:contextualSpacing/>
        <w:rPr>
          <w:lang w:val="en-NZ"/>
        </w:rPr>
      </w:pPr>
      <w:r w:rsidRPr="00962011">
        <w:rPr>
          <w:lang w:val="en-NZ"/>
        </w:rPr>
        <w:t xml:space="preserve">Facebook: </w:t>
      </w:r>
      <w:hyperlink r:id="rId10"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1"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2" w:history="1">
        <w:r w:rsidR="00962011" w:rsidRPr="0080671C">
          <w:rPr>
            <w:rStyle w:val="Hyperlink"/>
            <w:b/>
            <w:bCs/>
            <w:color w:val="auto"/>
            <w:u w:val="none"/>
            <w:lang w:val="en-NZ"/>
          </w:rPr>
          <w:t>www.ccsDisabilityAction.org.nz</w:t>
        </w:r>
      </w:hyperlink>
    </w:p>
    <w:p w14:paraId="551B3AF9" w14:textId="084896ED" w:rsidR="00CC6237" w:rsidRPr="00962011" w:rsidRDefault="00CC6237" w:rsidP="00634B06">
      <w:pPr>
        <w:contextualSpacing/>
        <w:rPr>
          <w:lang w:val="en-NZ"/>
        </w:rPr>
      </w:pPr>
      <w:r w:rsidRPr="00962011">
        <w:rPr>
          <w:lang w:val="en-NZ"/>
        </w:rPr>
        <w:t xml:space="preserve">Registered Charity Number: </w:t>
      </w:r>
      <w:r w:rsidR="001F2986" w:rsidRPr="001F2986">
        <w:rPr>
          <w:lang w:val="en-NZ"/>
        </w:rPr>
        <w:t>CC31190</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06229"/>
      <w:docPartObj>
        <w:docPartGallery w:val="Page Numbers (Bottom of Page)"/>
        <w:docPartUnique/>
      </w:docPartObj>
    </w:sdtPr>
    <w:sdtEndPr>
      <w:rPr>
        <w:noProof/>
      </w:rPr>
    </w:sdtEndPr>
    <w:sdtContent>
      <w:p w14:paraId="79EE16A7" w14:textId="395947F1" w:rsidR="00F372F5" w:rsidRDefault="00C9688A">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42</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082A84"/>
    <w:multiLevelType w:val="hybridMultilevel"/>
    <w:tmpl w:val="A7107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1505F3"/>
    <w:multiLevelType w:val="hybridMultilevel"/>
    <w:tmpl w:val="DB284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6D173D"/>
    <w:multiLevelType w:val="hybridMultilevel"/>
    <w:tmpl w:val="629E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1743641">
    <w:abstractNumId w:val="9"/>
  </w:num>
  <w:num w:numId="2" w16cid:durableId="688408276">
    <w:abstractNumId w:val="15"/>
  </w:num>
  <w:num w:numId="3" w16cid:durableId="969093656">
    <w:abstractNumId w:val="7"/>
  </w:num>
  <w:num w:numId="4" w16cid:durableId="22751250">
    <w:abstractNumId w:val="1"/>
  </w:num>
  <w:num w:numId="5" w16cid:durableId="901645021">
    <w:abstractNumId w:val="2"/>
  </w:num>
  <w:num w:numId="6" w16cid:durableId="1639339999">
    <w:abstractNumId w:val="0"/>
  </w:num>
  <w:num w:numId="7" w16cid:durableId="848132651">
    <w:abstractNumId w:val="13"/>
  </w:num>
  <w:num w:numId="8" w16cid:durableId="1490747793">
    <w:abstractNumId w:val="3"/>
  </w:num>
  <w:num w:numId="9" w16cid:durableId="1625232329">
    <w:abstractNumId w:val="14"/>
  </w:num>
  <w:num w:numId="10" w16cid:durableId="1228148298">
    <w:abstractNumId w:val="10"/>
  </w:num>
  <w:num w:numId="11" w16cid:durableId="988097047">
    <w:abstractNumId w:val="11"/>
  </w:num>
  <w:num w:numId="12" w16cid:durableId="587884413">
    <w:abstractNumId w:val="4"/>
  </w:num>
  <w:num w:numId="13" w16cid:durableId="954946974">
    <w:abstractNumId w:val="16"/>
  </w:num>
  <w:num w:numId="14" w16cid:durableId="645626278">
    <w:abstractNumId w:val="6"/>
  </w:num>
  <w:num w:numId="15" w16cid:durableId="980037650">
    <w:abstractNumId w:val="12"/>
  </w:num>
  <w:num w:numId="16" w16cid:durableId="1906143072">
    <w:abstractNumId w:val="8"/>
  </w:num>
  <w:num w:numId="17" w16cid:durableId="480654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411A6"/>
    <w:rsid w:val="0005076C"/>
    <w:rsid w:val="00053624"/>
    <w:rsid w:val="00070095"/>
    <w:rsid w:val="000C60FE"/>
    <w:rsid w:val="000F1264"/>
    <w:rsid w:val="00114A0F"/>
    <w:rsid w:val="001208FE"/>
    <w:rsid w:val="00125DC7"/>
    <w:rsid w:val="00131303"/>
    <w:rsid w:val="00135161"/>
    <w:rsid w:val="00137603"/>
    <w:rsid w:val="00137B89"/>
    <w:rsid w:val="0014471C"/>
    <w:rsid w:val="00146CB7"/>
    <w:rsid w:val="00153292"/>
    <w:rsid w:val="00154516"/>
    <w:rsid w:val="00156346"/>
    <w:rsid w:val="00164353"/>
    <w:rsid w:val="0016442E"/>
    <w:rsid w:val="00167153"/>
    <w:rsid w:val="00180707"/>
    <w:rsid w:val="00182623"/>
    <w:rsid w:val="001A1CFD"/>
    <w:rsid w:val="001B37F1"/>
    <w:rsid w:val="001D1BAD"/>
    <w:rsid w:val="001D5668"/>
    <w:rsid w:val="001E18E5"/>
    <w:rsid w:val="001E797D"/>
    <w:rsid w:val="001F2986"/>
    <w:rsid w:val="0021693B"/>
    <w:rsid w:val="00230FCC"/>
    <w:rsid w:val="002414E1"/>
    <w:rsid w:val="002546BD"/>
    <w:rsid w:val="00254D9C"/>
    <w:rsid w:val="00260F86"/>
    <w:rsid w:val="00261E14"/>
    <w:rsid w:val="00282D18"/>
    <w:rsid w:val="00285DA2"/>
    <w:rsid w:val="002977F3"/>
    <w:rsid w:val="002B27C0"/>
    <w:rsid w:val="002B4AD0"/>
    <w:rsid w:val="002C0AD1"/>
    <w:rsid w:val="002F5CA0"/>
    <w:rsid w:val="00321625"/>
    <w:rsid w:val="00325C6E"/>
    <w:rsid w:val="003603AC"/>
    <w:rsid w:val="00387447"/>
    <w:rsid w:val="00390EE6"/>
    <w:rsid w:val="00393C9A"/>
    <w:rsid w:val="00397156"/>
    <w:rsid w:val="0039752A"/>
    <w:rsid w:val="003A12D6"/>
    <w:rsid w:val="003A3D88"/>
    <w:rsid w:val="003A5774"/>
    <w:rsid w:val="003B1543"/>
    <w:rsid w:val="003F0F27"/>
    <w:rsid w:val="00401E9B"/>
    <w:rsid w:val="00444B73"/>
    <w:rsid w:val="004619E5"/>
    <w:rsid w:val="00464389"/>
    <w:rsid w:val="00467F4C"/>
    <w:rsid w:val="00497F59"/>
    <w:rsid w:val="004B107D"/>
    <w:rsid w:val="004B1666"/>
    <w:rsid w:val="004B3482"/>
    <w:rsid w:val="004C0676"/>
    <w:rsid w:val="004C628A"/>
    <w:rsid w:val="004D1BBF"/>
    <w:rsid w:val="004D3FC1"/>
    <w:rsid w:val="004E1C4D"/>
    <w:rsid w:val="00514BC5"/>
    <w:rsid w:val="005177AB"/>
    <w:rsid w:val="00534E86"/>
    <w:rsid w:val="005402C3"/>
    <w:rsid w:val="00540384"/>
    <w:rsid w:val="00544405"/>
    <w:rsid w:val="005829F5"/>
    <w:rsid w:val="00582B21"/>
    <w:rsid w:val="00594F3B"/>
    <w:rsid w:val="005B0A75"/>
    <w:rsid w:val="00602E4B"/>
    <w:rsid w:val="00621870"/>
    <w:rsid w:val="006250FD"/>
    <w:rsid w:val="00630817"/>
    <w:rsid w:val="00634B06"/>
    <w:rsid w:val="0063695B"/>
    <w:rsid w:val="00641D2E"/>
    <w:rsid w:val="0065344C"/>
    <w:rsid w:val="00662DE7"/>
    <w:rsid w:val="00692B9B"/>
    <w:rsid w:val="0069303C"/>
    <w:rsid w:val="006A3BB5"/>
    <w:rsid w:val="006B0DF3"/>
    <w:rsid w:val="006B1E61"/>
    <w:rsid w:val="006C26C1"/>
    <w:rsid w:val="006C577E"/>
    <w:rsid w:val="006F3F25"/>
    <w:rsid w:val="006F6EC7"/>
    <w:rsid w:val="007008AA"/>
    <w:rsid w:val="00701995"/>
    <w:rsid w:val="00712077"/>
    <w:rsid w:val="00717DD4"/>
    <w:rsid w:val="007227B4"/>
    <w:rsid w:val="00724EB7"/>
    <w:rsid w:val="00734AF2"/>
    <w:rsid w:val="00745906"/>
    <w:rsid w:val="00752EF8"/>
    <w:rsid w:val="0078556B"/>
    <w:rsid w:val="007916BF"/>
    <w:rsid w:val="007970AF"/>
    <w:rsid w:val="007A0FB4"/>
    <w:rsid w:val="007B13CA"/>
    <w:rsid w:val="007B73FA"/>
    <w:rsid w:val="007C18EA"/>
    <w:rsid w:val="007C3383"/>
    <w:rsid w:val="0080262E"/>
    <w:rsid w:val="00805452"/>
    <w:rsid w:val="0080671C"/>
    <w:rsid w:val="00816DC0"/>
    <w:rsid w:val="00864B42"/>
    <w:rsid w:val="0086732F"/>
    <w:rsid w:val="00882E15"/>
    <w:rsid w:val="00886A48"/>
    <w:rsid w:val="008B1854"/>
    <w:rsid w:val="008F68D2"/>
    <w:rsid w:val="00902710"/>
    <w:rsid w:val="00903152"/>
    <w:rsid w:val="009059DB"/>
    <w:rsid w:val="0091039B"/>
    <w:rsid w:val="00922E84"/>
    <w:rsid w:val="00932C85"/>
    <w:rsid w:val="009460F6"/>
    <w:rsid w:val="00962011"/>
    <w:rsid w:val="00974DF5"/>
    <w:rsid w:val="009944C7"/>
    <w:rsid w:val="009B1DBD"/>
    <w:rsid w:val="009D0E6F"/>
    <w:rsid w:val="009D678B"/>
    <w:rsid w:val="009D7979"/>
    <w:rsid w:val="009E3003"/>
    <w:rsid w:val="009F29E7"/>
    <w:rsid w:val="00A02690"/>
    <w:rsid w:val="00A20C25"/>
    <w:rsid w:val="00A41972"/>
    <w:rsid w:val="00A43DEB"/>
    <w:rsid w:val="00A556EC"/>
    <w:rsid w:val="00A7084B"/>
    <w:rsid w:val="00A71A85"/>
    <w:rsid w:val="00A9545D"/>
    <w:rsid w:val="00AB0D00"/>
    <w:rsid w:val="00AD00E2"/>
    <w:rsid w:val="00AD0137"/>
    <w:rsid w:val="00AD2CCA"/>
    <w:rsid w:val="00AD3B5E"/>
    <w:rsid w:val="00AE6AC9"/>
    <w:rsid w:val="00AF5F55"/>
    <w:rsid w:val="00B00E21"/>
    <w:rsid w:val="00B05AF9"/>
    <w:rsid w:val="00B07BF9"/>
    <w:rsid w:val="00B21093"/>
    <w:rsid w:val="00B35476"/>
    <w:rsid w:val="00B37ED4"/>
    <w:rsid w:val="00B525CF"/>
    <w:rsid w:val="00B52D4E"/>
    <w:rsid w:val="00B5552E"/>
    <w:rsid w:val="00B55D5C"/>
    <w:rsid w:val="00B56F98"/>
    <w:rsid w:val="00B6060B"/>
    <w:rsid w:val="00B7342E"/>
    <w:rsid w:val="00B92821"/>
    <w:rsid w:val="00BB0012"/>
    <w:rsid w:val="00BD66EF"/>
    <w:rsid w:val="00BE2ABE"/>
    <w:rsid w:val="00BE55B9"/>
    <w:rsid w:val="00C16F19"/>
    <w:rsid w:val="00C17656"/>
    <w:rsid w:val="00C202A9"/>
    <w:rsid w:val="00C22BED"/>
    <w:rsid w:val="00C24EC2"/>
    <w:rsid w:val="00C5291B"/>
    <w:rsid w:val="00C53CBF"/>
    <w:rsid w:val="00C57F7C"/>
    <w:rsid w:val="00C60F7E"/>
    <w:rsid w:val="00C71283"/>
    <w:rsid w:val="00C827A8"/>
    <w:rsid w:val="00C8489C"/>
    <w:rsid w:val="00C8510F"/>
    <w:rsid w:val="00C90D48"/>
    <w:rsid w:val="00C954E9"/>
    <w:rsid w:val="00C9688A"/>
    <w:rsid w:val="00CA04B3"/>
    <w:rsid w:val="00CB6F63"/>
    <w:rsid w:val="00CC462D"/>
    <w:rsid w:val="00CC6237"/>
    <w:rsid w:val="00CD0EB2"/>
    <w:rsid w:val="00CD46DB"/>
    <w:rsid w:val="00CF681B"/>
    <w:rsid w:val="00D0482F"/>
    <w:rsid w:val="00D546BA"/>
    <w:rsid w:val="00D55804"/>
    <w:rsid w:val="00D57C45"/>
    <w:rsid w:val="00D6335B"/>
    <w:rsid w:val="00D637BF"/>
    <w:rsid w:val="00D65501"/>
    <w:rsid w:val="00D65F4C"/>
    <w:rsid w:val="00D66EA2"/>
    <w:rsid w:val="00D80B04"/>
    <w:rsid w:val="00DA4935"/>
    <w:rsid w:val="00DB097C"/>
    <w:rsid w:val="00DE22D6"/>
    <w:rsid w:val="00DE3C61"/>
    <w:rsid w:val="00DF7F48"/>
    <w:rsid w:val="00E12498"/>
    <w:rsid w:val="00E23027"/>
    <w:rsid w:val="00E5306A"/>
    <w:rsid w:val="00E60619"/>
    <w:rsid w:val="00E61DCD"/>
    <w:rsid w:val="00E7391A"/>
    <w:rsid w:val="00E80E06"/>
    <w:rsid w:val="00E8347F"/>
    <w:rsid w:val="00E85EF7"/>
    <w:rsid w:val="00EA5672"/>
    <w:rsid w:val="00EB6DD3"/>
    <w:rsid w:val="00EC0647"/>
    <w:rsid w:val="00EE43CE"/>
    <w:rsid w:val="00EE6DCA"/>
    <w:rsid w:val="00F10C68"/>
    <w:rsid w:val="00F37232"/>
    <w:rsid w:val="00F372F5"/>
    <w:rsid w:val="00F6482A"/>
    <w:rsid w:val="00F74597"/>
    <w:rsid w:val="00F762B0"/>
    <w:rsid w:val="00F83A92"/>
    <w:rsid w:val="00F8586C"/>
    <w:rsid w:val="00FB2041"/>
    <w:rsid w:val="00FD7EF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AD2CCA"/>
    <w:rPr>
      <w:color w:val="F79646" w:themeColor="accent6"/>
      <w:lang w:val="mi-NZ"/>
    </w:rPr>
  </w:style>
  <w:style w:type="character" w:customStyle="1" w:styleId="H1MaoriChar">
    <w:name w:val="H1 Maori Char"/>
    <w:basedOn w:val="Heading1Char"/>
    <w:link w:val="H1Maori"/>
    <w:rsid w:val="00AD2CCA"/>
    <w:rPr>
      <w:rFonts w:eastAsia="Times New Roman"/>
      <w:b/>
      <w:color w:val="F79646" w:themeColor="accent6"/>
      <w:sz w:val="48"/>
      <w:szCs w:val="40"/>
      <w:lang w:val="mi-NZ"/>
    </w:rPr>
  </w:style>
  <w:style w:type="paragraph" w:customStyle="1" w:styleId="H2Maori">
    <w:name w:val="H2 Maori"/>
    <w:basedOn w:val="Heading2"/>
    <w:link w:val="H2MaoriChar"/>
    <w:qFormat/>
    <w:rsid w:val="00B21093"/>
    <w:rPr>
      <w:color w:val="F79646" w:themeColor="accent6"/>
      <w:lang w:val="mi-NZ"/>
    </w:rPr>
  </w:style>
  <w:style w:type="character" w:customStyle="1" w:styleId="H2MaoriChar">
    <w:name w:val="H2 Maori Char"/>
    <w:basedOn w:val="Heading2Char"/>
    <w:link w:val="H2Maori"/>
    <w:rsid w:val="00B21093"/>
    <w:rPr>
      <w:rFonts w:eastAsia="Times New Roman"/>
      <w:b/>
      <w:color w:val="F79646" w:themeColor="accent6"/>
      <w:sz w:val="44"/>
      <w:szCs w:val="36"/>
      <w:lang w:val="mi-NZ"/>
    </w:rPr>
  </w:style>
  <w:style w:type="table" w:styleId="TableGrid">
    <w:name w:val="Table Grid"/>
    <w:basedOn w:val="TableNormal"/>
    <w:uiPriority w:val="59"/>
    <w:rsid w:val="00BE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sDisabilityAction.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z.linkedin.com/company/ccs-disability-action" TargetMode="External"/><Relationship Id="rId5" Type="http://schemas.openxmlformats.org/officeDocument/2006/relationships/webSettings" Target="webSettings.xml"/><Relationship Id="rId10" Type="http://schemas.openxmlformats.org/officeDocument/2006/relationships/hyperlink" Target="http://www.Facebook.com/ccsDisabilityAction" TargetMode="External"/><Relationship Id="rId4" Type="http://schemas.openxmlformats.org/officeDocument/2006/relationships/settings" Target="settings.xml"/><Relationship Id="rId9" Type="http://schemas.openxmlformats.org/officeDocument/2006/relationships/hyperlink" Target="mailto:Manawatu@ccsDisabilityAction.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287F-717D-4CE5-A3B4-1DA85D9F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CCS DA Annual Report Manawatu Horowhenua 2023</vt:lpstr>
    </vt:vector>
  </TitlesOfParts>
  <Company>Vision Australia</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Manawatu Horowhenua 2023</dc:title>
  <dc:subject/>
  <dc:creator>Vision Auatralia</dc:creator>
  <cp:keywords/>
  <dc:description/>
  <cp:lastModifiedBy>Debra Murphy</cp:lastModifiedBy>
  <cp:revision>28</cp:revision>
  <dcterms:created xsi:type="dcterms:W3CDTF">2024-01-18T05:37:00Z</dcterms:created>
  <dcterms:modified xsi:type="dcterms:W3CDTF">2024-01-25T01:44:00Z</dcterms:modified>
</cp:coreProperties>
</file>